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textAlignment w:val="center"/>
        <w:rPr>
          <w:rFonts w:hint="eastAsia" w:eastAsia="黑体" w:cs="黑体"/>
          <w:szCs w:val="32"/>
        </w:rPr>
      </w:pPr>
      <w:r>
        <w:rPr>
          <w:rFonts w:hint="eastAsia" w:eastAsia="黑体" w:cs="黑体"/>
          <w:szCs w:val="32"/>
        </w:rPr>
        <w:t>附件1</w:t>
      </w:r>
    </w:p>
    <w:p>
      <w:pPr>
        <w:keepNext w:val="0"/>
        <w:keepLines w:val="0"/>
        <w:pageBreakBefore w:val="0"/>
        <w:widowControl/>
        <w:kinsoku/>
        <w:wordWrap/>
        <w:overflowPunct/>
        <w:topLinePunct w:val="0"/>
        <w:bidi w:val="0"/>
        <w:snapToGrid/>
        <w:spacing w:line="580" w:lineRule="exact"/>
        <w:textAlignment w:val="center"/>
        <w:rPr>
          <w:rFonts w:hint="eastAsia" w:eastAsia="黑体" w:cs="黑体"/>
          <w:szCs w:val="32"/>
        </w:rPr>
      </w:pPr>
    </w:p>
    <w:p>
      <w:pPr>
        <w:keepNext w:val="0"/>
        <w:keepLines w:val="0"/>
        <w:pageBreakBefore w:val="0"/>
        <w:widowControl/>
        <w:kinsoku/>
        <w:wordWrap/>
        <w:overflowPunct/>
        <w:topLinePunct w:val="0"/>
        <w:autoSpaceDE/>
        <w:autoSpaceDN/>
        <w:bidi w:val="0"/>
        <w:adjustRightInd/>
        <w:snapToGrid/>
        <w:spacing w:line="580" w:lineRule="exact"/>
        <w:jc w:val="center"/>
        <w:textAlignment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2023年广东省</w:t>
      </w:r>
      <w:r>
        <w:rPr>
          <w:rFonts w:hint="eastAsia" w:ascii="方正小标宋简体" w:hAnsi="方正小标宋简体" w:eastAsia="方正小标宋简体" w:cs="方正小标宋简体"/>
          <w:sz w:val="44"/>
          <w:szCs w:val="44"/>
          <w:lang w:eastAsia="zh-CN"/>
        </w:rPr>
        <w:t>奶瓶奶嘴</w:t>
      </w:r>
      <w:r>
        <w:rPr>
          <w:rFonts w:hint="eastAsia" w:ascii="方正小标宋简体" w:hAnsi="方正小标宋简体" w:eastAsia="方正小标宋简体" w:cs="方正小标宋简体"/>
          <w:sz w:val="44"/>
          <w:szCs w:val="44"/>
        </w:rPr>
        <w:t>生产领域质量</w:t>
      </w:r>
    </w:p>
    <w:p>
      <w:pPr>
        <w:keepNext w:val="0"/>
        <w:keepLines w:val="0"/>
        <w:pageBreakBefore w:val="0"/>
        <w:widowControl/>
        <w:kinsoku/>
        <w:wordWrap/>
        <w:overflowPunct/>
        <w:topLinePunct w:val="0"/>
        <w:autoSpaceDE/>
        <w:autoSpaceDN/>
        <w:bidi w:val="0"/>
        <w:adjustRightInd/>
        <w:snapToGrid/>
        <w:spacing w:line="580" w:lineRule="exact"/>
        <w:jc w:val="center"/>
        <w:textAlignment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安全监督抽查实施细则</w:t>
      </w:r>
    </w:p>
    <w:p>
      <w:pPr>
        <w:keepNext w:val="0"/>
        <w:keepLines w:val="0"/>
        <w:pageBreakBefore w:val="0"/>
        <w:kinsoku/>
        <w:wordWrap/>
        <w:overflowPunct/>
        <w:topLinePunct w:val="0"/>
        <w:autoSpaceDE w:val="0"/>
        <w:autoSpaceDN w:val="0"/>
        <w:bidi w:val="0"/>
        <w:adjustRightInd w:val="0"/>
        <w:snapToGrid/>
        <w:spacing w:line="580" w:lineRule="exact"/>
        <w:ind w:right="28"/>
        <w:rPr>
          <w:rFonts w:hint="eastAsia" w:eastAsia="方正小标宋简体" w:cs="方正小标宋简体"/>
          <w:bCs/>
          <w:sz w:val="44"/>
          <w:szCs w:val="44"/>
        </w:rPr>
      </w:pPr>
    </w:p>
    <w:p>
      <w:pPr>
        <w:keepNext w:val="0"/>
        <w:keepLines w:val="0"/>
        <w:pageBreakBefore w:val="0"/>
        <w:widowControl w:val="0"/>
        <w:kinsoku/>
        <w:wordWrap/>
        <w:overflowPunct/>
        <w:topLinePunct w:val="0"/>
        <w:autoSpaceDE w:val="0"/>
        <w:autoSpaceDN w:val="0"/>
        <w:bidi w:val="0"/>
        <w:adjustRightInd w:val="0"/>
        <w:snapToGrid/>
        <w:spacing w:line="580" w:lineRule="exact"/>
        <w:ind w:right="28" w:firstLine="640" w:firstLineChars="200"/>
        <w:textAlignment w:val="auto"/>
        <w:rPr>
          <w:rFonts w:hint="default" w:ascii="Times New Roman" w:hAnsi="Times New Roman" w:eastAsia="黑体" w:cs="Times New Roman"/>
          <w:bCs/>
          <w:szCs w:val="32"/>
        </w:rPr>
      </w:pPr>
      <w:r>
        <w:rPr>
          <w:rFonts w:hint="default" w:ascii="Times New Roman" w:hAnsi="Times New Roman" w:eastAsia="黑体" w:cs="Times New Roman"/>
          <w:bCs/>
          <w:szCs w:val="32"/>
        </w:rPr>
        <w:t>1</w:t>
      </w:r>
      <w:r>
        <w:rPr>
          <w:rFonts w:hint="eastAsia" w:ascii="Times New Roman" w:hAnsi="Times New Roman" w:eastAsia="黑体" w:cs="Times New Roman"/>
          <w:bCs/>
          <w:szCs w:val="32"/>
          <w:lang w:eastAsia="zh-CN"/>
        </w:rPr>
        <w:t>．</w:t>
      </w:r>
      <w:r>
        <w:rPr>
          <w:rFonts w:hint="default" w:ascii="Times New Roman" w:hAnsi="Times New Roman" w:eastAsia="黑体" w:cs="Times New Roman"/>
          <w:bCs/>
          <w:szCs w:val="32"/>
        </w:rPr>
        <w:t>适用范围</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hint="default" w:ascii="Times New Roman" w:hAnsi="Times New Roman" w:cs="Times New Roman"/>
          <w:szCs w:val="32"/>
        </w:rPr>
      </w:pPr>
      <w:r>
        <w:rPr>
          <w:rFonts w:hint="default" w:ascii="Times New Roman" w:hAnsi="Times New Roman" w:cs="Times New Roman"/>
          <w:szCs w:val="32"/>
        </w:rPr>
        <w:t>本细则适用于广东省生产领域食品相关产品监督抽查，监督抽查产品范围为广东省内生产领域的</w:t>
      </w:r>
      <w:r>
        <w:rPr>
          <w:rFonts w:hint="default" w:ascii="Times New Roman" w:hAnsi="Times New Roman" w:cs="Times New Roman"/>
          <w:szCs w:val="32"/>
          <w:lang w:eastAsia="zh-CN"/>
        </w:rPr>
        <w:t>塑料奶瓶、奶嘴</w:t>
      </w:r>
      <w:r>
        <w:rPr>
          <w:rFonts w:hint="default" w:ascii="Times New Roman" w:hAnsi="Times New Roman" w:cs="Times New Roman"/>
          <w:szCs w:val="32"/>
        </w:rPr>
        <w:t>。</w:t>
      </w:r>
    </w:p>
    <w:p>
      <w:pPr>
        <w:keepNext w:val="0"/>
        <w:keepLines w:val="0"/>
        <w:pageBreakBefore w:val="0"/>
        <w:widowControl w:val="0"/>
        <w:kinsoku/>
        <w:wordWrap/>
        <w:overflowPunct/>
        <w:topLinePunct w:val="0"/>
        <w:autoSpaceDE w:val="0"/>
        <w:autoSpaceDN w:val="0"/>
        <w:bidi w:val="0"/>
        <w:adjustRightInd w:val="0"/>
        <w:snapToGrid/>
        <w:spacing w:line="580" w:lineRule="exact"/>
        <w:ind w:right="28" w:firstLine="640" w:firstLineChars="200"/>
        <w:textAlignment w:val="auto"/>
        <w:rPr>
          <w:rFonts w:hint="default" w:ascii="Times New Roman" w:hAnsi="Times New Roman" w:cs="Times New Roman"/>
          <w:bCs/>
          <w:szCs w:val="32"/>
        </w:rPr>
      </w:pPr>
      <w:r>
        <w:rPr>
          <w:rFonts w:hint="default" w:ascii="Times New Roman" w:hAnsi="Times New Roman" w:eastAsia="黑体" w:cs="Times New Roman"/>
          <w:bCs/>
          <w:szCs w:val="32"/>
        </w:rPr>
        <w:t>2</w:t>
      </w:r>
      <w:r>
        <w:rPr>
          <w:rFonts w:hint="eastAsia" w:ascii="Times New Roman" w:hAnsi="Times New Roman" w:eastAsia="黑体" w:cs="Times New Roman"/>
          <w:bCs/>
          <w:szCs w:val="32"/>
          <w:lang w:eastAsia="zh-CN"/>
        </w:rPr>
        <w:t>．</w:t>
      </w:r>
      <w:r>
        <w:rPr>
          <w:rFonts w:hint="default" w:ascii="Times New Roman" w:hAnsi="Times New Roman" w:eastAsia="黑体" w:cs="Times New Roman"/>
          <w:bCs/>
          <w:szCs w:val="32"/>
        </w:rPr>
        <w:t>检验依据</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 4806.2-2015《食品安全国家标准 奶嘴》</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 4806.6-2016《食品安全国家标准 食品接触用塑料树脂》</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 4806.7-2016《食品安全国家标准 食品接触用塑料材料及制品》</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 9685-2016《食品安全国家标准 食品接触材料及制品用添加剂使用标准》</w:t>
      </w:r>
    </w:p>
    <w:p>
      <w:pPr>
        <w:keepNext w:val="0"/>
        <w:keepLines w:val="0"/>
        <w:pageBreakBefore w:val="0"/>
        <w:widowControl w:val="0"/>
        <w:kinsoku/>
        <w:wordWrap/>
        <w:overflowPunct/>
        <w:topLinePunct w:val="0"/>
        <w:bidi w:val="0"/>
        <w:snapToGrid/>
        <w:spacing w:line="580" w:lineRule="exact"/>
        <w:ind w:firstLine="616"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pacing w:val="-6"/>
          <w:sz w:val="32"/>
          <w:szCs w:val="32"/>
        </w:rPr>
        <w:t>《食品用塑料包装、容器、工具等制品生产许可审查细则》</w:t>
      </w:r>
      <w:r>
        <w:rPr>
          <w:rFonts w:hint="default" w:ascii="Times New Roman" w:hAnsi="Times New Roman" w:eastAsia="仿宋_GB2312" w:cs="Times New Roman"/>
          <w:sz w:val="32"/>
          <w:szCs w:val="32"/>
        </w:rPr>
        <w:t>等</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其他现行有效的企业标准及产品明示质量要求</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相关的法律法规、部门规章和规范</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hint="default" w:ascii="Times New Roman" w:hAnsi="Times New Roman" w:eastAsia="黑体" w:cs="Times New Roman"/>
          <w:bCs/>
          <w:szCs w:val="32"/>
        </w:rPr>
      </w:pPr>
      <w:r>
        <w:rPr>
          <w:rFonts w:hint="default" w:ascii="Times New Roman" w:hAnsi="Times New Roman" w:eastAsia="黑体" w:cs="Times New Roman"/>
          <w:bCs/>
          <w:szCs w:val="32"/>
        </w:rPr>
        <w:t>3</w:t>
      </w:r>
      <w:r>
        <w:rPr>
          <w:rFonts w:hint="eastAsia" w:ascii="Times New Roman" w:hAnsi="Times New Roman" w:eastAsia="黑体" w:cs="Times New Roman"/>
          <w:bCs/>
          <w:szCs w:val="32"/>
          <w:lang w:eastAsia="zh-CN"/>
        </w:rPr>
        <w:t>．</w:t>
      </w:r>
      <w:r>
        <w:rPr>
          <w:rFonts w:hint="default" w:ascii="Times New Roman" w:hAnsi="Times New Roman" w:eastAsia="黑体" w:cs="Times New Roman"/>
          <w:bCs/>
          <w:szCs w:val="32"/>
        </w:rPr>
        <w:t>抽样</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hint="default" w:ascii="Times New Roman" w:hAnsi="Times New Roman" w:cs="Times New Roman"/>
          <w:szCs w:val="32"/>
          <w:lang w:bidi="ar"/>
        </w:rPr>
      </w:pPr>
      <w:r>
        <w:rPr>
          <w:rFonts w:hint="default" w:ascii="Times New Roman" w:hAnsi="Times New Roman" w:cs="Times New Roman"/>
          <w:szCs w:val="32"/>
          <w:lang w:bidi="ar"/>
        </w:rPr>
        <w:t>抽取样品应为同一型号规格、同一批次的产品。产品抽样数量可根据样品的实际大小，在满足检验的条件下作适当调整；抽取的两份样品分别单独封装，一份作为检验样品，一份作为留样，留样封存于承检机构。抽样数量见下表：</w:t>
      </w:r>
    </w:p>
    <w:tbl>
      <w:tblPr>
        <w:tblStyle w:val="3"/>
        <w:tblW w:w="9300" w:type="dxa"/>
        <w:tblInd w:w="-3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365"/>
        <w:gridCol w:w="1770"/>
        <w:gridCol w:w="61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1365" w:type="dxa"/>
            <w:shd w:val="clear" w:color="auto" w:fill="FFFFFF"/>
            <w:noWrap w:val="0"/>
            <w:vAlign w:val="center"/>
          </w:tcPr>
          <w:p>
            <w:pPr>
              <w:jc w:val="center"/>
              <w:textAlignment w:val="center"/>
              <w:rPr>
                <w:rFonts w:hint="eastAsia" w:ascii="黑体" w:hAnsi="黑体" w:eastAsia="黑体" w:cs="黑体"/>
                <w:b w:val="0"/>
                <w:bCs/>
                <w:sz w:val="21"/>
                <w:szCs w:val="21"/>
              </w:rPr>
            </w:pPr>
            <w:r>
              <w:rPr>
                <w:rFonts w:hint="eastAsia" w:ascii="黑体" w:hAnsi="黑体" w:eastAsia="黑体" w:cs="黑体"/>
                <w:b w:val="0"/>
                <w:bCs/>
                <w:sz w:val="21"/>
                <w:szCs w:val="21"/>
                <w:lang w:bidi="ar"/>
              </w:rPr>
              <w:t>抽查产品</w:t>
            </w:r>
          </w:p>
        </w:tc>
        <w:tc>
          <w:tcPr>
            <w:tcW w:w="1770" w:type="dxa"/>
            <w:shd w:val="clear" w:color="auto" w:fill="FFFFFF"/>
            <w:noWrap w:val="0"/>
            <w:vAlign w:val="center"/>
          </w:tcPr>
          <w:p>
            <w:pPr>
              <w:jc w:val="center"/>
              <w:textAlignment w:val="center"/>
              <w:rPr>
                <w:rFonts w:hint="eastAsia" w:ascii="黑体" w:hAnsi="黑体" w:eastAsia="黑体" w:cs="黑体"/>
                <w:b w:val="0"/>
                <w:bCs/>
                <w:sz w:val="21"/>
                <w:szCs w:val="21"/>
              </w:rPr>
            </w:pPr>
            <w:r>
              <w:rPr>
                <w:rFonts w:hint="eastAsia" w:ascii="黑体" w:hAnsi="黑体" w:eastAsia="黑体" w:cs="黑体"/>
                <w:b w:val="0"/>
                <w:bCs/>
                <w:sz w:val="21"/>
                <w:szCs w:val="21"/>
                <w:lang w:bidi="ar"/>
              </w:rPr>
              <w:t>相关产品</w:t>
            </w:r>
          </w:p>
        </w:tc>
        <w:tc>
          <w:tcPr>
            <w:tcW w:w="6165" w:type="dxa"/>
            <w:shd w:val="clear" w:color="auto" w:fill="FFFFFF"/>
            <w:noWrap w:val="0"/>
            <w:vAlign w:val="center"/>
          </w:tcPr>
          <w:p>
            <w:pPr>
              <w:jc w:val="center"/>
              <w:textAlignment w:val="center"/>
              <w:rPr>
                <w:rFonts w:hint="eastAsia" w:ascii="黑体" w:hAnsi="黑体" w:eastAsia="黑体" w:cs="黑体"/>
                <w:b w:val="0"/>
                <w:bCs/>
                <w:sz w:val="21"/>
                <w:szCs w:val="21"/>
              </w:rPr>
            </w:pPr>
            <w:r>
              <w:rPr>
                <w:rFonts w:hint="eastAsia" w:ascii="黑体" w:hAnsi="黑体" w:eastAsia="黑体" w:cs="黑体"/>
                <w:b w:val="0"/>
                <w:bCs/>
                <w:sz w:val="21"/>
                <w:szCs w:val="21"/>
                <w:lang w:bidi="ar"/>
              </w:rPr>
              <w:t>抽样数量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608" w:hRule="atLeast"/>
        </w:trPr>
        <w:tc>
          <w:tcPr>
            <w:tcW w:w="1365" w:type="dxa"/>
            <w:shd w:val="clear" w:color="auto" w:fill="FFFFFF"/>
            <w:noWrap w:val="0"/>
            <w:vAlign w:val="center"/>
          </w:tcPr>
          <w:p>
            <w:pPr>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bidi="ar"/>
              </w:rPr>
              <w:t>塑料奶瓶</w:t>
            </w:r>
          </w:p>
        </w:tc>
        <w:tc>
          <w:tcPr>
            <w:tcW w:w="1770" w:type="dxa"/>
            <w:shd w:val="clear" w:color="auto" w:fill="FFFFFF"/>
            <w:noWrap w:val="0"/>
            <w:vAlign w:val="center"/>
          </w:tcPr>
          <w:p>
            <w:pPr>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bidi="ar"/>
              </w:rPr>
              <w:t>塑料奶瓶</w:t>
            </w:r>
          </w:p>
        </w:tc>
        <w:tc>
          <w:tcPr>
            <w:tcW w:w="6165" w:type="dxa"/>
            <w:shd w:val="clear" w:color="auto" w:fill="FFFFFF"/>
            <w:noWrap w:val="0"/>
            <w:vAlign w:val="center"/>
          </w:tcPr>
          <w:p>
            <w:pPr>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不少于12个，10个作为检验样品，2个作为复检备用样品。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608" w:hRule="atLeast"/>
        </w:trPr>
        <w:tc>
          <w:tcPr>
            <w:tcW w:w="1365" w:type="dxa"/>
            <w:shd w:val="clear" w:color="auto" w:fill="FFFFFF"/>
            <w:noWrap w:val="0"/>
            <w:vAlign w:val="center"/>
          </w:tcPr>
          <w:p>
            <w:pPr>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奶嘴</w:t>
            </w:r>
          </w:p>
        </w:tc>
        <w:tc>
          <w:tcPr>
            <w:tcW w:w="1770" w:type="dxa"/>
            <w:shd w:val="clear" w:color="auto" w:fill="FFFFFF"/>
            <w:noWrap w:val="0"/>
            <w:vAlign w:val="center"/>
          </w:tcPr>
          <w:p>
            <w:pPr>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硅橡胶奶嘴</w:t>
            </w:r>
          </w:p>
        </w:tc>
        <w:tc>
          <w:tcPr>
            <w:tcW w:w="6165" w:type="dxa"/>
            <w:shd w:val="clear" w:color="auto" w:fill="FFFFFF"/>
            <w:noWrap w:val="0"/>
            <w:vAlign w:val="center"/>
          </w:tcPr>
          <w:p>
            <w:pPr>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不少于30个，25个作为检验样品，5个作为复检备用样品。（小号奶嘴应适量增加抽样量）</w:t>
            </w:r>
          </w:p>
        </w:tc>
      </w:tr>
    </w:tbl>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sz w:val="21"/>
          <w:szCs w:val="21"/>
          <w:lang w:bidi="ar"/>
        </w:rPr>
      </w:pPr>
      <w:r>
        <w:rPr>
          <w:rFonts w:hint="eastAsia" w:ascii="宋体" w:hAnsi="宋体" w:eastAsia="宋体" w:cs="宋体"/>
          <w:sz w:val="21"/>
          <w:szCs w:val="21"/>
          <w:lang w:bidi="ar"/>
        </w:rPr>
        <w:t>注：需提供产品的标识或符合性声明。</w:t>
      </w:r>
    </w:p>
    <w:p>
      <w:pPr>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eastAsia="黑体"/>
          <w:bCs/>
          <w:szCs w:val="32"/>
        </w:rPr>
      </w:pPr>
      <w:r>
        <w:rPr>
          <w:rFonts w:hint="eastAsia" w:eastAsia="黑体"/>
          <w:bCs/>
          <w:szCs w:val="32"/>
        </w:rPr>
        <w:t>4</w:t>
      </w:r>
      <w:r>
        <w:rPr>
          <w:rFonts w:hint="eastAsia" w:eastAsia="黑体"/>
          <w:bCs/>
          <w:szCs w:val="32"/>
          <w:lang w:eastAsia="zh-CN"/>
        </w:rPr>
        <w:t>．</w:t>
      </w:r>
      <w:r>
        <w:rPr>
          <w:rFonts w:hint="eastAsia" w:eastAsia="黑体"/>
          <w:bCs/>
          <w:szCs w:val="32"/>
        </w:rPr>
        <w:t>检验项目要求</w:t>
      </w:r>
    </w:p>
    <w:tbl>
      <w:tblPr>
        <w:tblStyle w:val="3"/>
        <w:tblW w:w="9180" w:type="dxa"/>
        <w:tblInd w:w="-261" w:type="dxa"/>
        <w:tblLayout w:type="fixed"/>
        <w:tblCellMar>
          <w:top w:w="15" w:type="dxa"/>
          <w:left w:w="15" w:type="dxa"/>
          <w:bottom w:w="15" w:type="dxa"/>
          <w:right w:w="15" w:type="dxa"/>
        </w:tblCellMar>
      </w:tblPr>
      <w:tblGrid>
        <w:gridCol w:w="660"/>
        <w:gridCol w:w="754"/>
        <w:gridCol w:w="3266"/>
        <w:gridCol w:w="1585"/>
        <w:gridCol w:w="1259"/>
        <w:gridCol w:w="1656"/>
      </w:tblGrid>
      <w:tr>
        <w:tblPrEx>
          <w:tblLayout w:type="fixed"/>
          <w:tblCellMar>
            <w:top w:w="15" w:type="dxa"/>
            <w:left w:w="15" w:type="dxa"/>
            <w:bottom w:w="15" w:type="dxa"/>
            <w:right w:w="15" w:type="dxa"/>
          </w:tblCellMar>
        </w:tblPrEx>
        <w:trPr>
          <w:trHeight w:val="23" w:hRule="atLeast"/>
        </w:trPr>
        <w:tc>
          <w:tcPr>
            <w:tcW w:w="6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b w:val="0"/>
                <w:sz w:val="21"/>
                <w:szCs w:val="21"/>
                <w:lang w:bidi="ar"/>
              </w:rPr>
            </w:pPr>
            <w:r>
              <w:rPr>
                <w:rFonts w:hint="default" w:ascii="Times New Roman" w:hAnsi="Times New Roman" w:eastAsia="宋体" w:cs="Times New Roman"/>
                <w:b w:val="0"/>
                <w:sz w:val="21"/>
                <w:szCs w:val="21"/>
                <w:lang w:bidi="ar"/>
              </w:rPr>
              <w:t>产品</w:t>
            </w:r>
          </w:p>
        </w:tc>
        <w:tc>
          <w:tcPr>
            <w:tcW w:w="7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b w:val="0"/>
                <w:sz w:val="21"/>
                <w:szCs w:val="21"/>
                <w:lang w:bidi="ar"/>
              </w:rPr>
            </w:pPr>
            <w:r>
              <w:rPr>
                <w:rFonts w:hint="default" w:ascii="Times New Roman" w:hAnsi="Times New Roman" w:eastAsia="宋体" w:cs="Times New Roman"/>
                <w:b w:val="0"/>
                <w:sz w:val="21"/>
                <w:szCs w:val="21"/>
                <w:lang w:bidi="ar"/>
              </w:rPr>
              <w:t>序号</w:t>
            </w:r>
          </w:p>
        </w:tc>
        <w:tc>
          <w:tcPr>
            <w:tcW w:w="32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b w:val="0"/>
                <w:sz w:val="21"/>
                <w:szCs w:val="21"/>
                <w:lang w:bidi="ar"/>
              </w:rPr>
            </w:pPr>
            <w:r>
              <w:rPr>
                <w:rFonts w:hint="default" w:ascii="Times New Roman" w:hAnsi="Times New Roman" w:eastAsia="宋体" w:cs="Times New Roman"/>
                <w:b w:val="0"/>
                <w:sz w:val="21"/>
                <w:szCs w:val="21"/>
                <w:lang w:bidi="ar"/>
              </w:rPr>
              <w:t>检验项目</w:t>
            </w:r>
          </w:p>
        </w:tc>
        <w:tc>
          <w:tcPr>
            <w:tcW w:w="158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b w:val="0"/>
                <w:sz w:val="21"/>
                <w:szCs w:val="21"/>
                <w:lang w:bidi="ar"/>
              </w:rPr>
            </w:pPr>
            <w:r>
              <w:rPr>
                <w:rFonts w:hint="default" w:ascii="Times New Roman" w:hAnsi="Times New Roman" w:eastAsia="宋体" w:cs="Times New Roman"/>
                <w:b w:val="0"/>
                <w:sz w:val="21"/>
                <w:szCs w:val="21"/>
                <w:lang w:bidi="ar"/>
              </w:rPr>
              <w:t>依据法律法规</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b w:val="0"/>
                <w:sz w:val="21"/>
                <w:szCs w:val="21"/>
                <w:lang w:bidi="ar"/>
              </w:rPr>
            </w:pPr>
            <w:r>
              <w:rPr>
                <w:rFonts w:hint="default" w:ascii="Times New Roman" w:hAnsi="Times New Roman" w:eastAsia="宋体" w:cs="Times New Roman"/>
                <w:b w:val="0"/>
                <w:sz w:val="21"/>
                <w:szCs w:val="21"/>
                <w:lang w:bidi="ar"/>
              </w:rPr>
              <w:t>或标准</w:t>
            </w:r>
          </w:p>
        </w:tc>
        <w:tc>
          <w:tcPr>
            <w:tcW w:w="125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b w:val="0"/>
                <w:sz w:val="21"/>
                <w:szCs w:val="21"/>
                <w:lang w:bidi="ar"/>
              </w:rPr>
            </w:pPr>
            <w:r>
              <w:rPr>
                <w:rFonts w:hint="default" w:ascii="Times New Roman" w:hAnsi="Times New Roman" w:eastAsia="宋体" w:cs="Times New Roman"/>
                <w:b w:val="0"/>
                <w:sz w:val="21"/>
                <w:szCs w:val="21"/>
                <w:lang w:bidi="ar"/>
              </w:rPr>
              <w:t>检验方法</w:t>
            </w:r>
          </w:p>
        </w:tc>
        <w:tc>
          <w:tcPr>
            <w:tcW w:w="16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b w:val="0"/>
                <w:sz w:val="21"/>
                <w:szCs w:val="21"/>
                <w:lang w:bidi="ar"/>
              </w:rPr>
            </w:pPr>
            <w:r>
              <w:rPr>
                <w:rFonts w:hint="default" w:ascii="Times New Roman" w:hAnsi="Times New Roman" w:eastAsia="宋体" w:cs="Times New Roman"/>
                <w:b w:val="0"/>
                <w:sz w:val="21"/>
                <w:szCs w:val="21"/>
                <w:lang w:bidi="ar"/>
              </w:rPr>
              <w:t>备注</w:t>
            </w:r>
          </w:p>
        </w:tc>
      </w:tr>
      <w:tr>
        <w:tblPrEx>
          <w:tblLayout w:type="fixed"/>
          <w:tblCellMar>
            <w:top w:w="15" w:type="dxa"/>
            <w:left w:w="15" w:type="dxa"/>
            <w:bottom w:w="15" w:type="dxa"/>
            <w:right w:w="15" w:type="dxa"/>
          </w:tblCellMar>
        </w:tblPrEx>
        <w:trPr>
          <w:trHeight w:val="23" w:hRule="atLeast"/>
        </w:trPr>
        <w:tc>
          <w:tcPr>
            <w:tcW w:w="66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塑料奶瓶</w:t>
            </w:r>
          </w:p>
        </w:tc>
        <w:tc>
          <w:tcPr>
            <w:tcW w:w="7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1</w:t>
            </w:r>
          </w:p>
        </w:tc>
        <w:tc>
          <w:tcPr>
            <w:tcW w:w="32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感官要求</w:t>
            </w:r>
          </w:p>
        </w:tc>
        <w:tc>
          <w:tcPr>
            <w:tcW w:w="158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4806.7-2016</w:t>
            </w:r>
          </w:p>
        </w:tc>
        <w:tc>
          <w:tcPr>
            <w:tcW w:w="125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4806.7</w:t>
            </w:r>
          </w:p>
        </w:tc>
        <w:tc>
          <w:tcPr>
            <w:tcW w:w="16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p>
        </w:tc>
      </w:tr>
      <w:tr>
        <w:tblPrEx>
          <w:tblLayout w:type="fixed"/>
          <w:tblCellMar>
            <w:top w:w="15" w:type="dxa"/>
            <w:left w:w="15" w:type="dxa"/>
            <w:bottom w:w="15" w:type="dxa"/>
            <w:right w:w="15" w:type="dxa"/>
          </w:tblCellMar>
        </w:tblPrEx>
        <w:trPr>
          <w:trHeight w:val="23"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p>
        </w:tc>
        <w:tc>
          <w:tcPr>
            <w:tcW w:w="7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2</w:t>
            </w:r>
          </w:p>
        </w:tc>
        <w:tc>
          <w:tcPr>
            <w:tcW w:w="32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高锰酸钾消耗量</w:t>
            </w:r>
          </w:p>
        </w:tc>
        <w:tc>
          <w:tcPr>
            <w:tcW w:w="158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4806.7-2016</w:t>
            </w:r>
          </w:p>
        </w:tc>
        <w:tc>
          <w:tcPr>
            <w:tcW w:w="125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31604.2</w:t>
            </w:r>
          </w:p>
        </w:tc>
        <w:tc>
          <w:tcPr>
            <w:tcW w:w="16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p>
        </w:tc>
      </w:tr>
      <w:tr>
        <w:tblPrEx>
          <w:tblLayout w:type="fixed"/>
          <w:tblCellMar>
            <w:top w:w="15" w:type="dxa"/>
            <w:left w:w="15" w:type="dxa"/>
            <w:bottom w:w="15" w:type="dxa"/>
            <w:right w:w="15" w:type="dxa"/>
          </w:tblCellMar>
        </w:tblPrEx>
        <w:trPr>
          <w:trHeight w:val="23"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p>
        </w:tc>
        <w:tc>
          <w:tcPr>
            <w:tcW w:w="7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3</w:t>
            </w:r>
          </w:p>
        </w:tc>
        <w:tc>
          <w:tcPr>
            <w:tcW w:w="32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总迁移量</w:t>
            </w:r>
          </w:p>
        </w:tc>
        <w:tc>
          <w:tcPr>
            <w:tcW w:w="158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4806.7-2016</w:t>
            </w:r>
          </w:p>
        </w:tc>
        <w:tc>
          <w:tcPr>
            <w:tcW w:w="125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31604.8</w:t>
            </w:r>
          </w:p>
        </w:tc>
        <w:tc>
          <w:tcPr>
            <w:tcW w:w="16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p>
        </w:tc>
      </w:tr>
      <w:tr>
        <w:tblPrEx>
          <w:tblLayout w:type="fixed"/>
          <w:tblCellMar>
            <w:top w:w="15" w:type="dxa"/>
            <w:left w:w="15" w:type="dxa"/>
            <w:bottom w:w="15" w:type="dxa"/>
            <w:right w:w="15" w:type="dxa"/>
          </w:tblCellMar>
        </w:tblPrEx>
        <w:trPr>
          <w:trHeight w:val="23"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p>
        </w:tc>
        <w:tc>
          <w:tcPr>
            <w:tcW w:w="7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4</w:t>
            </w:r>
          </w:p>
        </w:tc>
        <w:tc>
          <w:tcPr>
            <w:tcW w:w="32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重金属（以Pb计）</w:t>
            </w:r>
          </w:p>
        </w:tc>
        <w:tc>
          <w:tcPr>
            <w:tcW w:w="158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4806.7-2016</w:t>
            </w:r>
          </w:p>
        </w:tc>
        <w:tc>
          <w:tcPr>
            <w:tcW w:w="125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31604.9</w:t>
            </w:r>
          </w:p>
        </w:tc>
        <w:tc>
          <w:tcPr>
            <w:tcW w:w="16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p>
        </w:tc>
      </w:tr>
      <w:tr>
        <w:tblPrEx>
          <w:tblLayout w:type="fixed"/>
          <w:tblCellMar>
            <w:top w:w="15" w:type="dxa"/>
            <w:left w:w="15" w:type="dxa"/>
            <w:bottom w:w="15" w:type="dxa"/>
            <w:right w:w="15" w:type="dxa"/>
          </w:tblCellMar>
        </w:tblPrEx>
        <w:trPr>
          <w:trHeight w:val="23"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p>
        </w:tc>
        <w:tc>
          <w:tcPr>
            <w:tcW w:w="7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5</w:t>
            </w:r>
          </w:p>
        </w:tc>
        <w:tc>
          <w:tcPr>
            <w:tcW w:w="32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脱色试验</w:t>
            </w:r>
          </w:p>
        </w:tc>
        <w:tc>
          <w:tcPr>
            <w:tcW w:w="158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4806.7-2016</w:t>
            </w:r>
          </w:p>
        </w:tc>
        <w:tc>
          <w:tcPr>
            <w:tcW w:w="125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31604.7</w:t>
            </w:r>
          </w:p>
        </w:tc>
        <w:tc>
          <w:tcPr>
            <w:tcW w:w="16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仅适用添加了着色剂的产品</w:t>
            </w:r>
          </w:p>
        </w:tc>
      </w:tr>
      <w:tr>
        <w:tblPrEx>
          <w:tblLayout w:type="fixed"/>
          <w:tblCellMar>
            <w:top w:w="15" w:type="dxa"/>
            <w:left w:w="15" w:type="dxa"/>
            <w:bottom w:w="15" w:type="dxa"/>
            <w:right w:w="15" w:type="dxa"/>
          </w:tblCellMar>
        </w:tblPrEx>
        <w:trPr>
          <w:trHeight w:val="23" w:hRule="atLeast"/>
        </w:trPr>
        <w:tc>
          <w:tcPr>
            <w:tcW w:w="660" w:type="dxa"/>
            <w:vMerge w:val="continue"/>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p>
        </w:tc>
        <w:tc>
          <w:tcPr>
            <w:tcW w:w="754"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6</w:t>
            </w:r>
          </w:p>
        </w:tc>
        <w:tc>
          <w:tcPr>
            <w:tcW w:w="3266"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邻苯类增塑剂</w:t>
            </w:r>
          </w:p>
        </w:tc>
        <w:tc>
          <w:tcPr>
            <w:tcW w:w="1585"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9685-2016</w:t>
            </w:r>
          </w:p>
        </w:tc>
        <w:tc>
          <w:tcPr>
            <w:tcW w:w="1259"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31604.30</w:t>
            </w:r>
          </w:p>
        </w:tc>
        <w:tc>
          <w:tcPr>
            <w:tcW w:w="1656"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p>
        </w:tc>
      </w:tr>
      <w:tr>
        <w:tblPrEx>
          <w:tblLayout w:type="fixed"/>
          <w:tblCellMar>
            <w:top w:w="15" w:type="dxa"/>
            <w:left w:w="15" w:type="dxa"/>
            <w:bottom w:w="15" w:type="dxa"/>
            <w:right w:w="15" w:type="dxa"/>
          </w:tblCellMar>
        </w:tblPrEx>
        <w:trPr>
          <w:trHeight w:val="23" w:hRule="atLeast"/>
        </w:trPr>
        <w:tc>
          <w:tcPr>
            <w:tcW w:w="660"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奶嘴</w:t>
            </w:r>
          </w:p>
        </w:tc>
        <w:tc>
          <w:tcPr>
            <w:tcW w:w="754"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1</w:t>
            </w:r>
          </w:p>
        </w:tc>
        <w:tc>
          <w:tcPr>
            <w:tcW w:w="326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总迁移量</w:t>
            </w:r>
          </w:p>
        </w:tc>
        <w:tc>
          <w:tcPr>
            <w:tcW w:w="158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GB 4806.2-2015</w:t>
            </w:r>
          </w:p>
        </w:tc>
        <w:tc>
          <w:tcPr>
            <w:tcW w:w="125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GB 31604.8</w:t>
            </w:r>
          </w:p>
        </w:tc>
        <w:tc>
          <w:tcPr>
            <w:tcW w:w="165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p>
        </w:tc>
      </w:tr>
      <w:tr>
        <w:tblPrEx>
          <w:tblLayout w:type="fixed"/>
          <w:tblCellMar>
            <w:top w:w="15" w:type="dxa"/>
            <w:left w:w="15" w:type="dxa"/>
            <w:bottom w:w="15" w:type="dxa"/>
            <w:right w:w="15" w:type="dxa"/>
          </w:tblCellMar>
        </w:tblPrEx>
        <w:trPr>
          <w:trHeight w:val="23" w:hRule="atLeast"/>
        </w:trPr>
        <w:tc>
          <w:tcPr>
            <w:tcW w:w="660"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p>
        </w:tc>
        <w:tc>
          <w:tcPr>
            <w:tcW w:w="754"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2</w:t>
            </w:r>
          </w:p>
        </w:tc>
        <w:tc>
          <w:tcPr>
            <w:tcW w:w="326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高锰酸钾消耗量</w:t>
            </w:r>
          </w:p>
        </w:tc>
        <w:tc>
          <w:tcPr>
            <w:tcW w:w="158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GB 4806.2-2015</w:t>
            </w:r>
          </w:p>
        </w:tc>
        <w:tc>
          <w:tcPr>
            <w:tcW w:w="125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GB 31604.2</w:t>
            </w:r>
          </w:p>
        </w:tc>
        <w:tc>
          <w:tcPr>
            <w:tcW w:w="165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p>
        </w:tc>
      </w:tr>
      <w:tr>
        <w:tblPrEx>
          <w:tblLayout w:type="fixed"/>
          <w:tblCellMar>
            <w:top w:w="15" w:type="dxa"/>
            <w:left w:w="15" w:type="dxa"/>
            <w:bottom w:w="15" w:type="dxa"/>
            <w:right w:w="15" w:type="dxa"/>
          </w:tblCellMar>
        </w:tblPrEx>
        <w:trPr>
          <w:trHeight w:val="23" w:hRule="atLeast"/>
        </w:trPr>
        <w:tc>
          <w:tcPr>
            <w:tcW w:w="660" w:type="dxa"/>
            <w:vMerge w:val="continue"/>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p>
        </w:tc>
        <w:tc>
          <w:tcPr>
            <w:tcW w:w="7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3</w:t>
            </w:r>
          </w:p>
        </w:tc>
        <w:tc>
          <w:tcPr>
            <w:tcW w:w="32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重金属（以Pb计）</w:t>
            </w:r>
          </w:p>
        </w:tc>
        <w:tc>
          <w:tcPr>
            <w:tcW w:w="15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GB 4806.2-2015</w:t>
            </w:r>
          </w:p>
        </w:tc>
        <w:tc>
          <w:tcPr>
            <w:tcW w:w="125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GB 31604.9</w:t>
            </w:r>
          </w:p>
        </w:tc>
        <w:tc>
          <w:tcPr>
            <w:tcW w:w="165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p>
        </w:tc>
      </w:tr>
      <w:tr>
        <w:tblPrEx>
          <w:tblLayout w:type="fixed"/>
          <w:tblCellMar>
            <w:top w:w="15" w:type="dxa"/>
            <w:left w:w="15" w:type="dxa"/>
            <w:bottom w:w="15" w:type="dxa"/>
            <w:right w:w="15" w:type="dxa"/>
          </w:tblCellMar>
        </w:tblPrEx>
        <w:trPr>
          <w:trHeight w:val="23" w:hRule="atLeast"/>
        </w:trPr>
        <w:tc>
          <w:tcPr>
            <w:tcW w:w="660" w:type="dxa"/>
            <w:vMerge w:val="continue"/>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p>
        </w:tc>
        <w:tc>
          <w:tcPr>
            <w:tcW w:w="7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4</w:t>
            </w:r>
          </w:p>
        </w:tc>
        <w:tc>
          <w:tcPr>
            <w:tcW w:w="32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锌（Zn）迁移量</w:t>
            </w:r>
          </w:p>
        </w:tc>
        <w:tc>
          <w:tcPr>
            <w:tcW w:w="15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GB 4806.2-2015</w:t>
            </w:r>
          </w:p>
        </w:tc>
        <w:tc>
          <w:tcPr>
            <w:tcW w:w="125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GB 31604.42</w:t>
            </w:r>
          </w:p>
        </w:tc>
        <w:tc>
          <w:tcPr>
            <w:tcW w:w="165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p>
        </w:tc>
      </w:tr>
      <w:tr>
        <w:tblPrEx>
          <w:tblLayout w:type="fixed"/>
          <w:tblCellMar>
            <w:top w:w="15" w:type="dxa"/>
            <w:left w:w="15" w:type="dxa"/>
            <w:bottom w:w="15" w:type="dxa"/>
            <w:right w:w="15" w:type="dxa"/>
          </w:tblCellMar>
        </w:tblPrEx>
        <w:trPr>
          <w:trHeight w:val="23" w:hRule="atLeast"/>
        </w:trPr>
        <w:tc>
          <w:tcPr>
            <w:tcW w:w="660" w:type="dxa"/>
            <w:vMerge w:val="continue"/>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p>
        </w:tc>
        <w:tc>
          <w:tcPr>
            <w:tcW w:w="7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5</w:t>
            </w:r>
          </w:p>
        </w:tc>
        <w:tc>
          <w:tcPr>
            <w:tcW w:w="32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挥发性物质</w:t>
            </w:r>
          </w:p>
        </w:tc>
        <w:tc>
          <w:tcPr>
            <w:tcW w:w="15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GB 4806.2-2015</w:t>
            </w:r>
          </w:p>
        </w:tc>
        <w:tc>
          <w:tcPr>
            <w:tcW w:w="125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GB 28482</w:t>
            </w:r>
          </w:p>
        </w:tc>
        <w:tc>
          <w:tcPr>
            <w:tcW w:w="165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仅适用于硅橡胶奶嘴</w:t>
            </w:r>
          </w:p>
        </w:tc>
      </w:tr>
      <w:tr>
        <w:tblPrEx>
          <w:tblLayout w:type="fixed"/>
          <w:tblCellMar>
            <w:top w:w="15" w:type="dxa"/>
            <w:left w:w="15" w:type="dxa"/>
            <w:bottom w:w="15" w:type="dxa"/>
            <w:right w:w="15" w:type="dxa"/>
          </w:tblCellMar>
        </w:tblPrEx>
        <w:trPr>
          <w:trHeight w:val="23" w:hRule="atLeast"/>
        </w:trPr>
        <w:tc>
          <w:tcPr>
            <w:tcW w:w="660" w:type="dxa"/>
            <w:vMerge w:val="continue"/>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p>
        </w:tc>
        <w:tc>
          <w:tcPr>
            <w:tcW w:w="7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6</w:t>
            </w:r>
          </w:p>
        </w:tc>
        <w:tc>
          <w:tcPr>
            <w:tcW w:w="32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2,6-二-叔丁基对甲苯酚迁移量</w:t>
            </w:r>
          </w:p>
        </w:tc>
        <w:tc>
          <w:tcPr>
            <w:tcW w:w="15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GB 4806.2-2015</w:t>
            </w:r>
          </w:p>
        </w:tc>
        <w:tc>
          <w:tcPr>
            <w:tcW w:w="125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GB 28482</w:t>
            </w:r>
          </w:p>
        </w:tc>
        <w:tc>
          <w:tcPr>
            <w:tcW w:w="165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仅适用于天然橡胶、顺式-1,4-聚异戊二烯橡胶奶嘴</w:t>
            </w:r>
          </w:p>
        </w:tc>
      </w:tr>
      <w:tr>
        <w:tblPrEx>
          <w:tblLayout w:type="fixed"/>
          <w:tblCellMar>
            <w:top w:w="15" w:type="dxa"/>
            <w:left w:w="15" w:type="dxa"/>
            <w:bottom w:w="15" w:type="dxa"/>
            <w:right w:w="15" w:type="dxa"/>
          </w:tblCellMar>
        </w:tblPrEx>
        <w:trPr>
          <w:trHeight w:val="23" w:hRule="atLeast"/>
        </w:trPr>
        <w:tc>
          <w:tcPr>
            <w:tcW w:w="660" w:type="dxa"/>
            <w:vMerge w:val="continue"/>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p>
        </w:tc>
        <w:tc>
          <w:tcPr>
            <w:tcW w:w="7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7</w:t>
            </w:r>
          </w:p>
        </w:tc>
        <w:tc>
          <w:tcPr>
            <w:tcW w:w="32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2,2'-亚甲基双-（4-甲基-6-叔丁基苯酚）迁移量</w:t>
            </w:r>
          </w:p>
        </w:tc>
        <w:tc>
          <w:tcPr>
            <w:tcW w:w="15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GB 4806.2-2015</w:t>
            </w:r>
          </w:p>
        </w:tc>
        <w:tc>
          <w:tcPr>
            <w:tcW w:w="125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GB 28482</w:t>
            </w:r>
          </w:p>
        </w:tc>
        <w:tc>
          <w:tcPr>
            <w:tcW w:w="165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仅适用于天然橡胶、顺式-1,4-聚异戊二烯橡胶奶嘴</w:t>
            </w:r>
          </w:p>
        </w:tc>
      </w:tr>
      <w:tr>
        <w:tblPrEx>
          <w:tblLayout w:type="fixed"/>
          <w:tblCellMar>
            <w:top w:w="15" w:type="dxa"/>
            <w:left w:w="15" w:type="dxa"/>
            <w:bottom w:w="15" w:type="dxa"/>
            <w:right w:w="15" w:type="dxa"/>
          </w:tblCellMar>
        </w:tblPrEx>
        <w:trPr>
          <w:trHeight w:val="23" w:hRule="atLeast"/>
        </w:trPr>
        <w:tc>
          <w:tcPr>
            <w:tcW w:w="660" w:type="dxa"/>
            <w:vMerge w:val="continue"/>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p>
        </w:tc>
        <w:tc>
          <w:tcPr>
            <w:tcW w:w="7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8</w:t>
            </w:r>
          </w:p>
        </w:tc>
        <w:tc>
          <w:tcPr>
            <w:tcW w:w="32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N-亚硝胺和N-亚硝胺可生成物释放量（人工唾液）（N-亚硝胺）</w:t>
            </w:r>
          </w:p>
        </w:tc>
        <w:tc>
          <w:tcPr>
            <w:tcW w:w="15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GB 4806.2-2015</w:t>
            </w:r>
          </w:p>
        </w:tc>
        <w:tc>
          <w:tcPr>
            <w:tcW w:w="125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GB/T 2415</w:t>
            </w:r>
          </w:p>
        </w:tc>
        <w:tc>
          <w:tcPr>
            <w:tcW w:w="165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p>
        </w:tc>
      </w:tr>
      <w:tr>
        <w:tblPrEx>
          <w:tblLayout w:type="fixed"/>
          <w:tblCellMar>
            <w:top w:w="15" w:type="dxa"/>
            <w:left w:w="15" w:type="dxa"/>
            <w:bottom w:w="15" w:type="dxa"/>
            <w:right w:w="15" w:type="dxa"/>
          </w:tblCellMar>
        </w:tblPrEx>
        <w:trPr>
          <w:trHeight w:val="23" w:hRule="atLeast"/>
        </w:trPr>
        <w:tc>
          <w:tcPr>
            <w:tcW w:w="660" w:type="dxa"/>
            <w:vMerge w:val="continue"/>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p>
        </w:tc>
        <w:tc>
          <w:tcPr>
            <w:tcW w:w="7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9</w:t>
            </w:r>
          </w:p>
        </w:tc>
        <w:tc>
          <w:tcPr>
            <w:tcW w:w="32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N-亚硝胺和N-亚硝胺可生成物释放量（人工唾液）（N-亚硝胺可生成物）</w:t>
            </w:r>
          </w:p>
        </w:tc>
        <w:tc>
          <w:tcPr>
            <w:tcW w:w="15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GB 4806.2-2015</w:t>
            </w:r>
          </w:p>
        </w:tc>
        <w:tc>
          <w:tcPr>
            <w:tcW w:w="125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GB/T 24153</w:t>
            </w:r>
          </w:p>
        </w:tc>
        <w:tc>
          <w:tcPr>
            <w:tcW w:w="165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p>
        </w:tc>
      </w:tr>
      <w:tr>
        <w:tblPrEx>
          <w:tblLayout w:type="fixed"/>
          <w:tblCellMar>
            <w:top w:w="15" w:type="dxa"/>
            <w:left w:w="15" w:type="dxa"/>
            <w:bottom w:w="15" w:type="dxa"/>
            <w:right w:w="15" w:type="dxa"/>
          </w:tblCellMar>
        </w:tblPrEx>
        <w:trPr>
          <w:trHeight w:val="23" w:hRule="atLeast"/>
        </w:trPr>
        <w:tc>
          <w:tcPr>
            <w:tcW w:w="660" w:type="dxa"/>
            <w:vMerge w:val="continue"/>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p>
        </w:tc>
        <w:tc>
          <w:tcPr>
            <w:tcW w:w="7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10</w:t>
            </w:r>
          </w:p>
        </w:tc>
        <w:tc>
          <w:tcPr>
            <w:tcW w:w="32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感官要求</w:t>
            </w:r>
          </w:p>
        </w:tc>
        <w:tc>
          <w:tcPr>
            <w:tcW w:w="15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GB 4806.2-2015</w:t>
            </w:r>
          </w:p>
        </w:tc>
        <w:tc>
          <w:tcPr>
            <w:tcW w:w="125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GB 4806.2</w:t>
            </w:r>
          </w:p>
        </w:tc>
        <w:tc>
          <w:tcPr>
            <w:tcW w:w="165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p>
        </w:tc>
      </w:tr>
      <w:tr>
        <w:tblPrEx>
          <w:tblLayout w:type="fixed"/>
          <w:tblCellMar>
            <w:top w:w="15" w:type="dxa"/>
            <w:left w:w="15" w:type="dxa"/>
            <w:bottom w:w="15" w:type="dxa"/>
            <w:right w:w="15" w:type="dxa"/>
          </w:tblCellMar>
        </w:tblPrEx>
        <w:trPr>
          <w:trHeight w:val="23" w:hRule="atLeast"/>
        </w:trPr>
        <w:tc>
          <w:tcPr>
            <w:tcW w:w="660" w:type="dxa"/>
            <w:vMerge w:val="continue"/>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bidi="ar"/>
              </w:rPr>
            </w:pPr>
          </w:p>
        </w:tc>
        <w:tc>
          <w:tcPr>
            <w:tcW w:w="7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11</w:t>
            </w:r>
          </w:p>
        </w:tc>
        <w:tc>
          <w:tcPr>
            <w:tcW w:w="32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邻苯类增塑剂</w:t>
            </w:r>
          </w:p>
        </w:tc>
        <w:tc>
          <w:tcPr>
            <w:tcW w:w="15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GB 9685-2016</w:t>
            </w:r>
          </w:p>
        </w:tc>
        <w:tc>
          <w:tcPr>
            <w:tcW w:w="125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bidi="ar"/>
              </w:rPr>
              <w:t>GB 31604.30</w:t>
            </w:r>
          </w:p>
        </w:tc>
        <w:tc>
          <w:tcPr>
            <w:tcW w:w="165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sz w:val="21"/>
                <w:szCs w:val="21"/>
                <w:lang w:val="en-US" w:eastAsia="zh-CN" w:bidi="ar"/>
              </w:rPr>
            </w:pPr>
          </w:p>
        </w:tc>
      </w:tr>
    </w:tbl>
    <w:p>
      <w:pPr>
        <w:spacing w:line="600" w:lineRule="exact"/>
        <w:ind w:firstLine="640" w:firstLineChars="200"/>
        <w:rPr>
          <w:rFonts w:hint="eastAsia" w:cs="仿宋_GB2312"/>
          <w:szCs w:val="32"/>
        </w:rPr>
      </w:pPr>
      <w:r>
        <w:rPr>
          <w:rFonts w:hint="eastAsia" w:cs="仿宋_GB2312"/>
          <w:szCs w:val="32"/>
        </w:rPr>
        <w:t>检验应注意的问题：</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hint="eastAsia" w:cs="仿宋_GB2312"/>
          <w:szCs w:val="32"/>
        </w:rPr>
      </w:pPr>
      <w:r>
        <w:rPr>
          <w:rFonts w:hint="eastAsia" w:eastAsia="仿宋" w:cs="仿宋"/>
          <w:szCs w:val="32"/>
        </w:rPr>
        <w:t>①</w:t>
      </w:r>
      <w:r>
        <w:rPr>
          <w:rFonts w:hint="eastAsia" w:cs="仿宋_GB2312"/>
          <w:szCs w:val="32"/>
        </w:rPr>
        <w:t>被检产品明示的质量要求高于本细则中检验项目依据的标准要求时，应按被检产品明示的质量要求判定。若被检产品明示的质量要求低于本细则中检验项目依据的国家或行业强制性标准要求时，应按国家或行业强制性标准要求判定；若被检产品明示的质量要求低于或包含本细则中检验项目依据的推荐性标准要求时，应以被检产品明示的质量要求判定；若被检产品明示的质量要求缺少本细则中的检验项目（主要是产品通用重要特征值）时，应按本细则中检验项目依据的标准要求进行检验并判定；若被检产品明示的质量要求缺少本规范中检验项目依据的推荐性标准要求时，该项目不参与判定，但应在检验报告备注中进行说明。</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hint="eastAsia" w:cs="仿宋_GB2312"/>
          <w:szCs w:val="32"/>
        </w:rPr>
      </w:pPr>
      <w:r>
        <w:rPr>
          <w:rFonts w:hint="eastAsia" w:cs="仿宋_GB2312"/>
          <w:szCs w:val="32"/>
        </w:rPr>
        <w:t>②若样品出现封样状态破坏或样品异常损坏的情况，影响检验结果，则停止对该样品的检验。</w:t>
      </w:r>
    </w:p>
    <w:p>
      <w:pPr>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eastAsia="黑体"/>
          <w:bCs/>
          <w:szCs w:val="32"/>
        </w:rPr>
      </w:pPr>
      <w:r>
        <w:rPr>
          <w:rFonts w:hint="eastAsia" w:eastAsia="黑体"/>
          <w:bCs/>
          <w:szCs w:val="32"/>
        </w:rPr>
        <w:t>5</w:t>
      </w:r>
      <w:r>
        <w:rPr>
          <w:rFonts w:hint="eastAsia" w:eastAsia="黑体"/>
          <w:bCs/>
          <w:szCs w:val="32"/>
          <w:lang w:eastAsia="zh-CN"/>
        </w:rPr>
        <w:t>．</w:t>
      </w:r>
      <w:r>
        <w:rPr>
          <w:rFonts w:hint="eastAsia" w:eastAsia="黑体"/>
          <w:bCs/>
          <w:szCs w:val="32"/>
        </w:rPr>
        <w:t>判定原则</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hint="eastAsia" w:cs="仿宋_GB2312"/>
          <w:szCs w:val="32"/>
        </w:rPr>
      </w:pPr>
      <w:r>
        <w:rPr>
          <w:rFonts w:hint="eastAsia" w:cs="仿宋_GB2312"/>
          <w:szCs w:val="32"/>
        </w:rPr>
        <w:t>经检验，检验项目全部合格，判定为被抽查产品合格；检验项目中任一项或一项以上不合格，判定为被抽查产品不合格。</w:t>
      </w:r>
    </w:p>
    <w:p>
      <w:pPr>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eastAsia="黑体"/>
          <w:bCs/>
          <w:szCs w:val="32"/>
        </w:rPr>
      </w:pPr>
      <w:r>
        <w:rPr>
          <w:rFonts w:hint="eastAsia" w:eastAsia="黑体"/>
          <w:bCs/>
          <w:szCs w:val="32"/>
        </w:rPr>
        <w:t>6</w:t>
      </w:r>
      <w:r>
        <w:rPr>
          <w:rFonts w:hint="eastAsia" w:eastAsia="黑体"/>
          <w:bCs/>
          <w:szCs w:val="32"/>
          <w:lang w:eastAsia="zh-CN"/>
        </w:rPr>
        <w:t>．</w:t>
      </w:r>
      <w:r>
        <w:rPr>
          <w:rFonts w:hint="eastAsia" w:eastAsia="黑体"/>
          <w:bCs/>
          <w:szCs w:val="32"/>
        </w:rPr>
        <w:t>异议处理复检</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hint="eastAsia"/>
          <w:color w:val="000000"/>
        </w:rPr>
      </w:pPr>
      <w:r>
        <w:rPr>
          <w:rFonts w:hint="eastAsia"/>
          <w:color w:val="000000"/>
        </w:rPr>
        <w:t>对判定不合格产品进行复检时，按以下方式进行：</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hint="eastAsia"/>
          <w:color w:val="000000"/>
        </w:rPr>
      </w:pPr>
      <w:r>
        <w:rPr>
          <w:rFonts w:hint="eastAsia"/>
          <w:color w:val="000000"/>
        </w:rPr>
        <w:t>6.1对不合格项目复检时，采用备用样复检。复检结论为最终检验结论。</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hint="eastAsia"/>
          <w:color w:val="000000"/>
        </w:rPr>
      </w:pPr>
      <w:r>
        <w:rPr>
          <w:rFonts w:hint="eastAsia"/>
          <w:color w:val="000000"/>
        </w:rPr>
        <w:t>6.2不进行复检情况：</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hint="eastAsia"/>
          <w:color w:val="000000"/>
        </w:rPr>
      </w:pPr>
      <w:r>
        <w:rPr>
          <w:rFonts w:hint="eastAsia"/>
          <w:color w:val="000000"/>
        </w:rPr>
        <w:t>①被检方提出复检时，产品在复检有效期内于正常贮存条件下已变质；</w:t>
      </w:r>
    </w:p>
    <w:p>
      <w:pPr>
        <w:ind w:firstLine="640" w:firstLineChars="200"/>
        <w:rPr>
          <w:rFonts w:hint="eastAsia"/>
          <w:color w:val="000000"/>
        </w:rPr>
      </w:pPr>
      <w:r>
        <w:rPr>
          <w:rFonts w:hint="eastAsia"/>
          <w:color w:val="000000"/>
        </w:rPr>
        <w:t>②法律、法规规定不得复检的其他情况。</w:t>
      </w:r>
    </w:p>
    <w:p>
      <w:pPr>
        <w:textAlignment w:val="center"/>
        <w:rPr>
          <w:rFonts w:hint="eastAsia" w:eastAsia="黑体" w:cs="黑体"/>
          <w:szCs w:val="32"/>
        </w:rPr>
      </w:pPr>
    </w:p>
    <w:p>
      <w:pPr>
        <w:keepNext w:val="0"/>
        <w:keepLines w:val="0"/>
        <w:pageBreakBefore w:val="0"/>
        <w:widowControl w:val="0"/>
        <w:kinsoku/>
        <w:wordWrap/>
        <w:overflowPunct/>
        <w:topLinePunct w:val="0"/>
        <w:bidi w:val="0"/>
        <w:snapToGrid/>
        <w:spacing w:line="560" w:lineRule="exact"/>
        <w:textAlignment w:val="center"/>
        <w:rPr>
          <w:rFonts w:eastAsia="黑体" w:cs="黑体"/>
          <w:szCs w:val="32"/>
        </w:rPr>
      </w:pPr>
      <w:r>
        <w:rPr>
          <w:rFonts w:hint="eastAsia" w:eastAsia="黑体" w:cs="黑体"/>
          <w:szCs w:val="32"/>
        </w:rPr>
        <w:t>附件2</w:t>
      </w:r>
    </w:p>
    <w:p>
      <w:pPr>
        <w:keepNext w:val="0"/>
        <w:keepLines w:val="0"/>
        <w:pageBreakBefore w:val="0"/>
        <w:widowControl w:val="0"/>
        <w:kinsoku/>
        <w:wordWrap/>
        <w:overflowPunct/>
        <w:topLinePunct w:val="0"/>
        <w:bidi w:val="0"/>
        <w:snapToGrid/>
        <w:spacing w:line="560" w:lineRule="exact"/>
        <w:textAlignment w:val="center"/>
        <w:rPr>
          <w:rFonts w:hint="eastAsia"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2023年广东省</w:t>
      </w:r>
      <w:r>
        <w:rPr>
          <w:rFonts w:hint="eastAsia" w:ascii="方正小标宋简体" w:hAnsi="方正小标宋简体" w:eastAsia="方正小标宋简体" w:cs="方正小标宋简体"/>
          <w:sz w:val="44"/>
          <w:szCs w:val="44"/>
          <w:lang w:eastAsia="zh-CN"/>
        </w:rPr>
        <w:t>婴幼儿</w:t>
      </w:r>
      <w:r>
        <w:rPr>
          <w:rFonts w:hint="eastAsia" w:ascii="方正小标宋简体" w:hAnsi="方正小标宋简体" w:eastAsia="方正小标宋简体" w:cs="方正小标宋简体"/>
          <w:sz w:val="44"/>
          <w:szCs w:val="44"/>
        </w:rPr>
        <w:t>餐饮具生产领域</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sz w:val="44"/>
          <w:szCs w:val="44"/>
        </w:rPr>
        <w:t>质量安全监督抽查实施细则</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rPr>
          <w:rFonts w:hint="eastAsia" w:eastAsia="黑体"/>
          <w:bCs/>
          <w:szCs w:val="32"/>
        </w:rPr>
      </w:pP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rPr>
          <w:rFonts w:hint="eastAsia" w:eastAsia="黑体"/>
          <w:bCs/>
          <w:szCs w:val="32"/>
        </w:rPr>
      </w:pPr>
      <w:r>
        <w:rPr>
          <w:rFonts w:hint="eastAsia" w:eastAsia="黑体"/>
          <w:bCs/>
          <w:szCs w:val="32"/>
        </w:rPr>
        <w:t>1</w:t>
      </w:r>
      <w:r>
        <w:rPr>
          <w:rFonts w:hint="eastAsia" w:eastAsia="黑体"/>
          <w:bCs/>
          <w:szCs w:val="32"/>
          <w:lang w:eastAsia="zh-CN"/>
        </w:rPr>
        <w:t>．</w:t>
      </w:r>
      <w:r>
        <w:rPr>
          <w:rFonts w:hint="eastAsia" w:eastAsia="黑体"/>
          <w:bCs/>
          <w:szCs w:val="32"/>
        </w:rPr>
        <w:t>适用范围</w:t>
      </w:r>
    </w:p>
    <w:p>
      <w:pPr>
        <w:spacing w:line="600" w:lineRule="exact"/>
        <w:ind w:firstLine="640" w:firstLineChars="200"/>
        <w:rPr>
          <w:rFonts w:hint="eastAsia" w:cs="仿宋_GB2312"/>
          <w:szCs w:val="32"/>
        </w:rPr>
      </w:pPr>
      <w:r>
        <w:rPr>
          <w:rFonts w:hint="eastAsia" w:cs="仿宋_GB2312"/>
          <w:szCs w:val="32"/>
        </w:rPr>
        <w:t>本细则适用于广东省生产领域食品相关产品监督抽查，监督抽查产品范围为广东省内生产领域的婴幼儿塑料餐饮具、婴幼儿硅胶餐饮具。</w:t>
      </w:r>
    </w:p>
    <w:p>
      <w:pPr>
        <w:autoSpaceDE w:val="0"/>
        <w:autoSpaceDN w:val="0"/>
        <w:adjustRightInd w:val="0"/>
        <w:spacing w:line="600" w:lineRule="exact"/>
        <w:ind w:firstLine="640" w:firstLineChars="200"/>
        <w:rPr>
          <w:rFonts w:hint="eastAsia" w:cs="宋体"/>
          <w:bCs/>
          <w:szCs w:val="32"/>
        </w:rPr>
      </w:pPr>
      <w:r>
        <w:rPr>
          <w:rFonts w:hint="eastAsia" w:eastAsia="黑体"/>
          <w:bCs/>
          <w:szCs w:val="32"/>
        </w:rPr>
        <w:t>2</w:t>
      </w:r>
      <w:r>
        <w:rPr>
          <w:rFonts w:hint="eastAsia" w:eastAsia="黑体"/>
          <w:bCs/>
          <w:szCs w:val="32"/>
          <w:lang w:eastAsia="zh-CN"/>
        </w:rPr>
        <w:t>．</w:t>
      </w:r>
      <w:r>
        <w:rPr>
          <w:rFonts w:hint="eastAsia" w:eastAsia="黑体"/>
          <w:bCs/>
          <w:szCs w:val="32"/>
        </w:rPr>
        <w:t>检验依据</w:t>
      </w:r>
    </w:p>
    <w:p>
      <w:pPr>
        <w:spacing w:line="600" w:lineRule="exact"/>
        <w:ind w:firstLine="640" w:firstLineChars="200"/>
        <w:rPr>
          <w:rFonts w:hint="default" w:ascii="Times New Roman" w:hAnsi="Times New Roman" w:eastAsia="仿宋_GB2312" w:cs="Times New Roman"/>
          <w:szCs w:val="32"/>
        </w:rPr>
      </w:pPr>
      <w:r>
        <w:rPr>
          <w:rFonts w:hint="default" w:ascii="Times New Roman" w:hAnsi="Times New Roman" w:eastAsia="仿宋_GB2312" w:cs="Times New Roman"/>
          <w:szCs w:val="32"/>
        </w:rPr>
        <w:t>GB 4806.6-2016《食品安全国家标准 食品接触用塑料树脂》</w:t>
      </w:r>
    </w:p>
    <w:p>
      <w:pPr>
        <w:spacing w:line="600" w:lineRule="exact"/>
        <w:ind w:firstLine="640" w:firstLineChars="200"/>
        <w:rPr>
          <w:rFonts w:hint="default" w:ascii="Times New Roman" w:hAnsi="Times New Roman" w:eastAsia="仿宋_GB2312" w:cs="Times New Roman"/>
          <w:szCs w:val="32"/>
        </w:rPr>
      </w:pPr>
      <w:r>
        <w:rPr>
          <w:rFonts w:hint="default" w:ascii="Times New Roman" w:hAnsi="Times New Roman" w:eastAsia="仿宋_GB2312" w:cs="Times New Roman"/>
          <w:szCs w:val="32"/>
        </w:rPr>
        <w:t>GB 4806.7-2016《食品安全国家标准 食品接触用塑料材料及制品》</w:t>
      </w:r>
    </w:p>
    <w:p>
      <w:pPr>
        <w:spacing w:line="600" w:lineRule="exact"/>
        <w:ind w:firstLine="640" w:firstLineChars="200"/>
        <w:rPr>
          <w:rFonts w:hint="default" w:ascii="Times New Roman" w:hAnsi="Times New Roman" w:eastAsia="仿宋_GB2312" w:cs="Times New Roman"/>
          <w:szCs w:val="32"/>
        </w:rPr>
      </w:pPr>
      <w:r>
        <w:rPr>
          <w:rFonts w:hint="default" w:ascii="Times New Roman" w:hAnsi="Times New Roman" w:eastAsia="仿宋_GB2312" w:cs="Times New Roman"/>
          <w:szCs w:val="32"/>
        </w:rPr>
        <w:t>GB 4806.11-2016《食品安全国家标准 食品接触用橡胶材料及制品》</w:t>
      </w:r>
    </w:p>
    <w:p>
      <w:pPr>
        <w:spacing w:line="600" w:lineRule="exact"/>
        <w:ind w:firstLine="640" w:firstLineChars="200"/>
        <w:rPr>
          <w:rFonts w:hint="default" w:ascii="Times New Roman" w:hAnsi="Times New Roman" w:eastAsia="仿宋_GB2312" w:cs="Times New Roman"/>
          <w:szCs w:val="32"/>
        </w:rPr>
      </w:pPr>
      <w:r>
        <w:rPr>
          <w:rFonts w:hint="default" w:ascii="Times New Roman" w:hAnsi="Times New Roman" w:eastAsia="仿宋_GB2312" w:cs="Times New Roman"/>
          <w:szCs w:val="32"/>
        </w:rPr>
        <w:t>GB 9685-2016《食品安全国家标准 食品接触材料及制品用添加剂使用标准》</w:t>
      </w:r>
    </w:p>
    <w:p>
      <w:pPr>
        <w:spacing w:line="600" w:lineRule="exact"/>
        <w:ind w:firstLine="616" w:firstLineChars="200"/>
        <w:rPr>
          <w:rFonts w:hint="default" w:ascii="Times New Roman" w:hAnsi="Times New Roman" w:eastAsia="仿宋_GB2312" w:cs="Times New Roman"/>
          <w:szCs w:val="32"/>
        </w:rPr>
      </w:pPr>
      <w:bookmarkStart w:id="0" w:name="OLE_LINK2"/>
      <w:r>
        <w:rPr>
          <w:rFonts w:hint="default" w:ascii="Times New Roman" w:hAnsi="Times New Roman" w:eastAsia="仿宋_GB2312" w:cs="Times New Roman"/>
          <w:spacing w:val="-6"/>
          <w:sz w:val="32"/>
          <w:szCs w:val="32"/>
        </w:rPr>
        <w:t>《食品用塑料包装、容器、工具等制品生产许可审查细则》</w:t>
      </w:r>
      <w:r>
        <w:rPr>
          <w:rFonts w:hint="default" w:ascii="Times New Roman" w:hAnsi="Times New Roman" w:eastAsia="仿宋_GB2312" w:cs="Times New Roman"/>
          <w:szCs w:val="32"/>
        </w:rPr>
        <w:t>等</w:t>
      </w:r>
    </w:p>
    <w:bookmarkEnd w:id="0"/>
    <w:p>
      <w:pPr>
        <w:spacing w:line="600" w:lineRule="exact"/>
        <w:ind w:firstLine="640" w:firstLineChars="200"/>
        <w:rPr>
          <w:rFonts w:hint="default" w:ascii="Times New Roman" w:hAnsi="Times New Roman" w:eastAsia="仿宋_GB2312" w:cs="Times New Roman"/>
          <w:szCs w:val="32"/>
        </w:rPr>
      </w:pPr>
      <w:r>
        <w:rPr>
          <w:rFonts w:hint="default" w:ascii="Times New Roman" w:hAnsi="Times New Roman" w:eastAsia="仿宋_GB2312" w:cs="Times New Roman"/>
          <w:szCs w:val="32"/>
        </w:rPr>
        <w:t>其他现行有效的企业标准及产品明示质量要求</w:t>
      </w:r>
    </w:p>
    <w:p>
      <w:pPr>
        <w:spacing w:line="600" w:lineRule="exact"/>
        <w:ind w:firstLine="640" w:firstLineChars="200"/>
        <w:rPr>
          <w:rFonts w:hint="default" w:ascii="Times New Roman" w:hAnsi="Times New Roman" w:eastAsia="仿宋_GB2312" w:cs="Times New Roman"/>
          <w:szCs w:val="32"/>
        </w:rPr>
      </w:pPr>
      <w:r>
        <w:rPr>
          <w:rFonts w:hint="default" w:ascii="Times New Roman" w:hAnsi="Times New Roman" w:eastAsia="仿宋_GB2312" w:cs="Times New Roman"/>
          <w:szCs w:val="32"/>
        </w:rPr>
        <w:t>相关的法律法规、部门规章和规范</w:t>
      </w:r>
    </w:p>
    <w:p>
      <w:pPr>
        <w:spacing w:line="600" w:lineRule="exact"/>
        <w:ind w:firstLine="640" w:firstLineChars="200"/>
        <w:rPr>
          <w:rFonts w:hint="eastAsia" w:eastAsia="黑体"/>
          <w:bCs/>
          <w:szCs w:val="32"/>
        </w:rPr>
      </w:pPr>
      <w:r>
        <w:rPr>
          <w:rFonts w:hint="eastAsia" w:eastAsia="黑体"/>
          <w:bCs/>
          <w:szCs w:val="32"/>
        </w:rPr>
        <w:t>3</w:t>
      </w:r>
      <w:r>
        <w:rPr>
          <w:rFonts w:hint="eastAsia" w:eastAsia="黑体"/>
          <w:bCs/>
          <w:szCs w:val="32"/>
          <w:lang w:eastAsia="zh-CN"/>
        </w:rPr>
        <w:t>．</w:t>
      </w:r>
      <w:r>
        <w:rPr>
          <w:rFonts w:hint="eastAsia" w:eastAsia="黑体"/>
          <w:bCs/>
          <w:szCs w:val="32"/>
        </w:rPr>
        <w:t>抽样</w:t>
      </w:r>
    </w:p>
    <w:p>
      <w:pPr>
        <w:spacing w:line="600" w:lineRule="exact"/>
        <w:ind w:firstLine="640" w:firstLineChars="200"/>
        <w:rPr>
          <w:rFonts w:hint="eastAsia" w:cs="仿宋_GB2312"/>
          <w:szCs w:val="32"/>
          <w:lang w:bidi="ar"/>
        </w:rPr>
      </w:pPr>
      <w:r>
        <w:rPr>
          <w:rFonts w:hint="eastAsia" w:cs="仿宋_GB2312"/>
          <w:szCs w:val="32"/>
          <w:lang w:bidi="ar"/>
        </w:rPr>
        <w:t>抽取样品应为同一型号规格、同一批次的产品。产品抽样数量可根据样品的实际大小，在满足检验的条件下作适当调整；抽取的两份样品分别单独封装，一份作为检验样品，一份作为留样，留样封存于承检机构。抽样数量见下表：</w:t>
      </w:r>
    </w:p>
    <w:tbl>
      <w:tblPr>
        <w:tblStyle w:val="3"/>
        <w:tblW w:w="9576" w:type="dxa"/>
        <w:jc w:val="center"/>
        <w:tblInd w:w="0" w:type="dxa"/>
        <w:tblLayout w:type="fixed"/>
        <w:tblCellMar>
          <w:top w:w="15" w:type="dxa"/>
          <w:left w:w="15" w:type="dxa"/>
          <w:bottom w:w="15" w:type="dxa"/>
          <w:right w:w="15" w:type="dxa"/>
        </w:tblCellMar>
      </w:tblPr>
      <w:tblGrid>
        <w:gridCol w:w="1169"/>
        <w:gridCol w:w="3210"/>
        <w:gridCol w:w="5197"/>
      </w:tblGrid>
      <w:tr>
        <w:tblPrEx>
          <w:tblLayout w:type="fixed"/>
          <w:tblCellMar>
            <w:top w:w="15" w:type="dxa"/>
            <w:left w:w="15" w:type="dxa"/>
            <w:bottom w:w="15" w:type="dxa"/>
            <w:right w:w="15" w:type="dxa"/>
          </w:tblCellMar>
        </w:tblPrEx>
        <w:trPr>
          <w:trHeight w:val="23" w:hRule="atLeast"/>
          <w:jc w:val="center"/>
        </w:trPr>
        <w:tc>
          <w:tcPr>
            <w:tcW w:w="11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sz w:val="21"/>
                <w:szCs w:val="21"/>
              </w:rPr>
            </w:pPr>
            <w:r>
              <w:rPr>
                <w:rFonts w:hint="eastAsia" w:ascii="黑体" w:hAnsi="黑体" w:eastAsia="黑体" w:cs="黑体"/>
                <w:b w:val="0"/>
                <w:bCs/>
                <w:sz w:val="21"/>
                <w:szCs w:val="21"/>
                <w:lang w:bidi="ar"/>
              </w:rPr>
              <w:t>抽查产品</w:t>
            </w:r>
          </w:p>
        </w:tc>
        <w:tc>
          <w:tcPr>
            <w:tcW w:w="321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sz w:val="21"/>
                <w:szCs w:val="21"/>
              </w:rPr>
            </w:pPr>
            <w:r>
              <w:rPr>
                <w:rFonts w:hint="eastAsia" w:ascii="黑体" w:hAnsi="黑体" w:eastAsia="黑体" w:cs="黑体"/>
                <w:b w:val="0"/>
                <w:bCs/>
                <w:sz w:val="21"/>
                <w:szCs w:val="21"/>
                <w:lang w:bidi="ar"/>
              </w:rPr>
              <w:t>相关产品</w:t>
            </w:r>
          </w:p>
        </w:tc>
        <w:tc>
          <w:tcPr>
            <w:tcW w:w="519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sz w:val="21"/>
                <w:szCs w:val="21"/>
              </w:rPr>
            </w:pPr>
            <w:r>
              <w:rPr>
                <w:rFonts w:hint="eastAsia" w:ascii="黑体" w:hAnsi="黑体" w:eastAsia="黑体" w:cs="黑体"/>
                <w:b w:val="0"/>
                <w:bCs/>
                <w:sz w:val="21"/>
                <w:szCs w:val="21"/>
                <w:lang w:bidi="ar"/>
              </w:rPr>
              <w:t>抽样数量</w:t>
            </w:r>
          </w:p>
        </w:tc>
      </w:tr>
      <w:tr>
        <w:tblPrEx>
          <w:tblLayout w:type="fixed"/>
          <w:tblCellMar>
            <w:top w:w="15" w:type="dxa"/>
            <w:left w:w="15" w:type="dxa"/>
            <w:bottom w:w="15" w:type="dxa"/>
            <w:right w:w="15" w:type="dxa"/>
          </w:tblCellMar>
        </w:tblPrEx>
        <w:trPr>
          <w:trHeight w:val="23" w:hRule="atLeast"/>
          <w:jc w:val="center"/>
        </w:trPr>
        <w:tc>
          <w:tcPr>
            <w:tcW w:w="11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婴幼儿</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餐饮具</w:t>
            </w:r>
          </w:p>
        </w:tc>
        <w:tc>
          <w:tcPr>
            <w:tcW w:w="321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塑料餐饮具：聚氯乙烯、聚丙烯、聚乙烯等材质的碗、碟、杯、刀、叉、勺、筷子等</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硅胶餐饮具：硅橡胶碗、碟、勺等</w:t>
            </w:r>
          </w:p>
        </w:tc>
        <w:tc>
          <w:tcPr>
            <w:tcW w:w="519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塑料餐饮具：大件不少于18件，16件作为检验样品，2件作为复检备用样品。小件（如刀、叉、勺、筷子等）不少于30个,25件作为检验样品,5件作为复检备用样品。</w:t>
            </w:r>
          </w:p>
          <w:p>
            <w:pPr>
              <w:keepNext w:val="0"/>
              <w:keepLines w:val="0"/>
              <w:pageBreakBefore w:val="0"/>
              <w:widowControl w:val="0"/>
              <w:kinsoku/>
              <w:wordWrap/>
              <w:overflowPunct/>
              <w:topLinePunct w:val="0"/>
              <w:autoSpaceDE/>
              <w:autoSpaceDN/>
              <w:bidi w:val="0"/>
              <w:adjustRightInd/>
              <w:snapToGrid/>
              <w:spacing w:line="320" w:lineRule="exact"/>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硅胶餐饮具：大件不少于14件，12件作为检验样品，2件作为复检备用样品。小件（如刀、叉、勺、筷子等）不少于30个,25件作为检验样品,5件作为复检备用样品。</w:t>
            </w:r>
          </w:p>
        </w:tc>
      </w:tr>
    </w:tbl>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sz w:val="21"/>
          <w:szCs w:val="21"/>
          <w:lang w:bidi="ar"/>
        </w:rPr>
      </w:pPr>
      <w:r>
        <w:rPr>
          <w:rFonts w:hint="eastAsia" w:ascii="宋体" w:hAnsi="宋体" w:eastAsia="宋体" w:cs="宋体"/>
          <w:sz w:val="21"/>
          <w:szCs w:val="21"/>
          <w:lang w:bidi="ar"/>
        </w:rPr>
        <w:t>注：需提供产品的标识或符合性声明。</w:t>
      </w:r>
    </w:p>
    <w:p>
      <w:pPr>
        <w:autoSpaceDE w:val="0"/>
        <w:autoSpaceDN w:val="0"/>
        <w:adjustRightInd w:val="0"/>
        <w:spacing w:line="600" w:lineRule="exact"/>
        <w:ind w:firstLine="640" w:firstLineChars="200"/>
        <w:rPr>
          <w:rFonts w:hint="eastAsia" w:eastAsia="黑体"/>
          <w:bCs/>
          <w:szCs w:val="32"/>
        </w:rPr>
      </w:pPr>
      <w:r>
        <w:rPr>
          <w:rFonts w:hint="eastAsia" w:eastAsia="黑体"/>
          <w:bCs/>
          <w:szCs w:val="32"/>
        </w:rPr>
        <w:t>4</w:t>
      </w:r>
      <w:r>
        <w:rPr>
          <w:rFonts w:hint="eastAsia" w:eastAsia="黑体"/>
          <w:bCs/>
          <w:szCs w:val="32"/>
          <w:lang w:eastAsia="zh-CN"/>
        </w:rPr>
        <w:t>．</w:t>
      </w:r>
      <w:r>
        <w:rPr>
          <w:rFonts w:hint="eastAsia" w:eastAsia="黑体"/>
          <w:bCs/>
          <w:szCs w:val="32"/>
        </w:rPr>
        <w:t>检验项目要求</w:t>
      </w:r>
    </w:p>
    <w:tbl>
      <w:tblPr>
        <w:tblStyle w:val="3"/>
        <w:tblW w:w="9495" w:type="dxa"/>
        <w:tblInd w:w="-295" w:type="dxa"/>
        <w:tblLayout w:type="fixed"/>
        <w:tblCellMar>
          <w:top w:w="15" w:type="dxa"/>
          <w:left w:w="15" w:type="dxa"/>
          <w:bottom w:w="15" w:type="dxa"/>
          <w:right w:w="15" w:type="dxa"/>
        </w:tblCellMar>
      </w:tblPr>
      <w:tblGrid>
        <w:gridCol w:w="1035"/>
        <w:gridCol w:w="930"/>
        <w:gridCol w:w="660"/>
        <w:gridCol w:w="1830"/>
        <w:gridCol w:w="1980"/>
        <w:gridCol w:w="1160"/>
        <w:gridCol w:w="1900"/>
      </w:tblGrid>
      <w:tr>
        <w:tblPrEx>
          <w:tblLayout w:type="fixed"/>
          <w:tblCellMar>
            <w:top w:w="15" w:type="dxa"/>
            <w:left w:w="15" w:type="dxa"/>
            <w:bottom w:w="15" w:type="dxa"/>
            <w:right w:w="15" w:type="dxa"/>
          </w:tblCellMar>
        </w:tblPrEx>
        <w:trPr>
          <w:trHeight w:val="23" w:hRule="atLeast"/>
        </w:trPr>
        <w:tc>
          <w:tcPr>
            <w:tcW w:w="196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黑体" w:hAnsi="黑体" w:eastAsia="黑体" w:cs="黑体"/>
                <w:sz w:val="21"/>
                <w:szCs w:val="21"/>
                <w:lang w:bidi="ar"/>
              </w:rPr>
            </w:pPr>
            <w:r>
              <w:rPr>
                <w:rFonts w:hint="eastAsia" w:ascii="黑体" w:hAnsi="黑体" w:eastAsia="黑体" w:cs="黑体"/>
                <w:sz w:val="21"/>
                <w:szCs w:val="21"/>
                <w:lang w:bidi="ar"/>
              </w:rPr>
              <w:t>产品</w:t>
            </w:r>
          </w:p>
        </w:tc>
        <w:tc>
          <w:tcPr>
            <w:tcW w:w="6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黑体" w:hAnsi="黑体" w:eastAsia="黑体" w:cs="黑体"/>
                <w:sz w:val="21"/>
                <w:szCs w:val="21"/>
                <w:lang w:bidi="ar"/>
              </w:rPr>
            </w:pPr>
            <w:r>
              <w:rPr>
                <w:rFonts w:hint="eastAsia" w:ascii="黑体" w:hAnsi="黑体" w:eastAsia="黑体" w:cs="黑体"/>
                <w:sz w:val="21"/>
                <w:szCs w:val="21"/>
                <w:lang w:bidi="ar"/>
              </w:rPr>
              <w:t>序号</w:t>
            </w:r>
          </w:p>
        </w:tc>
        <w:tc>
          <w:tcPr>
            <w:tcW w:w="18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黑体" w:hAnsi="黑体" w:eastAsia="黑体" w:cs="黑体"/>
                <w:sz w:val="21"/>
                <w:szCs w:val="21"/>
                <w:lang w:bidi="ar"/>
              </w:rPr>
            </w:pPr>
            <w:r>
              <w:rPr>
                <w:rFonts w:hint="eastAsia" w:ascii="黑体" w:hAnsi="黑体" w:eastAsia="黑体" w:cs="黑体"/>
                <w:sz w:val="21"/>
                <w:szCs w:val="21"/>
                <w:lang w:bidi="ar"/>
              </w:rPr>
              <w:t>检验项目</w:t>
            </w:r>
          </w:p>
        </w:tc>
        <w:tc>
          <w:tcPr>
            <w:tcW w:w="19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黑体" w:hAnsi="黑体" w:eastAsia="黑体" w:cs="黑体"/>
                <w:sz w:val="21"/>
                <w:szCs w:val="21"/>
                <w:lang w:bidi="ar"/>
              </w:rPr>
            </w:pPr>
            <w:r>
              <w:rPr>
                <w:rFonts w:hint="eastAsia" w:ascii="黑体" w:hAnsi="黑体" w:eastAsia="黑体" w:cs="黑体"/>
                <w:sz w:val="21"/>
                <w:szCs w:val="21"/>
                <w:lang w:bidi="ar"/>
              </w:rPr>
              <w:t>依据法律法规或标准</w:t>
            </w:r>
          </w:p>
        </w:tc>
        <w:tc>
          <w:tcPr>
            <w:tcW w:w="11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黑体" w:hAnsi="黑体" w:eastAsia="黑体" w:cs="黑体"/>
                <w:sz w:val="21"/>
                <w:szCs w:val="21"/>
                <w:lang w:bidi="ar"/>
              </w:rPr>
            </w:pPr>
            <w:r>
              <w:rPr>
                <w:rFonts w:hint="eastAsia" w:ascii="黑体" w:hAnsi="黑体" w:eastAsia="黑体" w:cs="黑体"/>
                <w:sz w:val="21"/>
                <w:szCs w:val="21"/>
                <w:lang w:bidi="ar"/>
              </w:rPr>
              <w:t>检验方法</w:t>
            </w:r>
          </w:p>
        </w:tc>
        <w:tc>
          <w:tcPr>
            <w:tcW w:w="19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黑体" w:hAnsi="黑体" w:eastAsia="黑体" w:cs="黑体"/>
                <w:sz w:val="21"/>
                <w:szCs w:val="21"/>
                <w:lang w:bidi="ar"/>
              </w:rPr>
            </w:pPr>
            <w:r>
              <w:rPr>
                <w:rFonts w:hint="eastAsia" w:ascii="黑体" w:hAnsi="黑体" w:eastAsia="黑体" w:cs="黑体"/>
                <w:sz w:val="21"/>
                <w:szCs w:val="21"/>
                <w:lang w:bidi="ar"/>
              </w:rPr>
              <w:t>备注</w:t>
            </w:r>
          </w:p>
        </w:tc>
      </w:tr>
      <w:tr>
        <w:tblPrEx>
          <w:tblLayout w:type="fixed"/>
          <w:tblCellMar>
            <w:top w:w="15" w:type="dxa"/>
            <w:left w:w="15" w:type="dxa"/>
            <w:bottom w:w="15" w:type="dxa"/>
            <w:right w:w="15" w:type="dxa"/>
          </w:tblCellMar>
        </w:tblPrEx>
        <w:trPr>
          <w:trHeight w:val="23" w:hRule="atLeast"/>
        </w:trPr>
        <w:tc>
          <w:tcPr>
            <w:tcW w:w="1035" w:type="dxa"/>
            <w:vMerge w:val="restart"/>
            <w:tcBorders>
              <w:top w:val="single" w:color="000000" w:sz="4" w:space="0"/>
              <w:left w:val="single" w:color="000000"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婴幼儿</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餐饮具</w:t>
            </w:r>
          </w:p>
        </w:tc>
        <w:tc>
          <w:tcPr>
            <w:tcW w:w="930" w:type="dxa"/>
            <w:vMerge w:val="restart"/>
            <w:tcBorders>
              <w:top w:val="single" w:color="000000" w:sz="4" w:space="0"/>
              <w:left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塑料</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餐饮具</w:t>
            </w:r>
          </w:p>
        </w:tc>
        <w:tc>
          <w:tcPr>
            <w:tcW w:w="6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1</w:t>
            </w:r>
          </w:p>
        </w:tc>
        <w:tc>
          <w:tcPr>
            <w:tcW w:w="18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高锰酸钾消耗量</w:t>
            </w:r>
          </w:p>
        </w:tc>
        <w:tc>
          <w:tcPr>
            <w:tcW w:w="19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GB 4806.7-2016</w:t>
            </w:r>
          </w:p>
        </w:tc>
        <w:tc>
          <w:tcPr>
            <w:tcW w:w="11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GB 31604.2</w:t>
            </w:r>
          </w:p>
        </w:tc>
        <w:tc>
          <w:tcPr>
            <w:tcW w:w="19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p>
        </w:tc>
      </w:tr>
      <w:tr>
        <w:tblPrEx>
          <w:tblLayout w:type="fixed"/>
          <w:tblCellMar>
            <w:top w:w="15" w:type="dxa"/>
            <w:left w:w="15" w:type="dxa"/>
            <w:bottom w:w="15" w:type="dxa"/>
            <w:right w:w="15" w:type="dxa"/>
          </w:tblCellMar>
        </w:tblPrEx>
        <w:trPr>
          <w:trHeight w:val="23" w:hRule="atLeast"/>
        </w:trPr>
        <w:tc>
          <w:tcPr>
            <w:tcW w:w="1035" w:type="dxa"/>
            <w:vMerge w:val="continue"/>
            <w:tcBorders>
              <w:left w:val="single" w:color="000000"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p>
        </w:tc>
        <w:tc>
          <w:tcPr>
            <w:tcW w:w="930" w:type="dxa"/>
            <w:vMerge w:val="continue"/>
            <w:tcBorders>
              <w:left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p>
        </w:tc>
        <w:tc>
          <w:tcPr>
            <w:tcW w:w="6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2</w:t>
            </w:r>
          </w:p>
        </w:tc>
        <w:tc>
          <w:tcPr>
            <w:tcW w:w="18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总迁移量</w:t>
            </w:r>
          </w:p>
        </w:tc>
        <w:tc>
          <w:tcPr>
            <w:tcW w:w="19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GB 4806.7-2016</w:t>
            </w:r>
          </w:p>
        </w:tc>
        <w:tc>
          <w:tcPr>
            <w:tcW w:w="11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GB 31604.8</w:t>
            </w:r>
          </w:p>
        </w:tc>
        <w:tc>
          <w:tcPr>
            <w:tcW w:w="19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p>
        </w:tc>
      </w:tr>
      <w:tr>
        <w:tblPrEx>
          <w:tblLayout w:type="fixed"/>
          <w:tblCellMar>
            <w:top w:w="15" w:type="dxa"/>
            <w:left w:w="15" w:type="dxa"/>
            <w:bottom w:w="15" w:type="dxa"/>
            <w:right w:w="15" w:type="dxa"/>
          </w:tblCellMar>
        </w:tblPrEx>
        <w:trPr>
          <w:trHeight w:val="23" w:hRule="atLeast"/>
        </w:trPr>
        <w:tc>
          <w:tcPr>
            <w:tcW w:w="1035" w:type="dxa"/>
            <w:vMerge w:val="continue"/>
            <w:tcBorders>
              <w:left w:val="single" w:color="000000"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p>
        </w:tc>
        <w:tc>
          <w:tcPr>
            <w:tcW w:w="930" w:type="dxa"/>
            <w:vMerge w:val="continue"/>
            <w:tcBorders>
              <w:left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p>
        </w:tc>
        <w:tc>
          <w:tcPr>
            <w:tcW w:w="6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3</w:t>
            </w:r>
          </w:p>
        </w:tc>
        <w:tc>
          <w:tcPr>
            <w:tcW w:w="18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重金属（以Pb计）</w:t>
            </w:r>
          </w:p>
        </w:tc>
        <w:tc>
          <w:tcPr>
            <w:tcW w:w="19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GB 4806.7-2016</w:t>
            </w:r>
          </w:p>
        </w:tc>
        <w:tc>
          <w:tcPr>
            <w:tcW w:w="11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GB 31604.9</w:t>
            </w:r>
          </w:p>
        </w:tc>
        <w:tc>
          <w:tcPr>
            <w:tcW w:w="19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p>
        </w:tc>
      </w:tr>
      <w:tr>
        <w:tblPrEx>
          <w:tblLayout w:type="fixed"/>
          <w:tblCellMar>
            <w:top w:w="15" w:type="dxa"/>
            <w:left w:w="15" w:type="dxa"/>
            <w:bottom w:w="15" w:type="dxa"/>
            <w:right w:w="15" w:type="dxa"/>
          </w:tblCellMar>
        </w:tblPrEx>
        <w:trPr>
          <w:trHeight w:val="23" w:hRule="atLeast"/>
        </w:trPr>
        <w:tc>
          <w:tcPr>
            <w:tcW w:w="1035" w:type="dxa"/>
            <w:vMerge w:val="continue"/>
            <w:tcBorders>
              <w:left w:val="single" w:color="000000"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p>
        </w:tc>
        <w:tc>
          <w:tcPr>
            <w:tcW w:w="930" w:type="dxa"/>
            <w:vMerge w:val="continue"/>
            <w:tcBorders>
              <w:left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p>
        </w:tc>
        <w:tc>
          <w:tcPr>
            <w:tcW w:w="6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4</w:t>
            </w:r>
          </w:p>
        </w:tc>
        <w:tc>
          <w:tcPr>
            <w:tcW w:w="18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脱色试验</w:t>
            </w:r>
          </w:p>
        </w:tc>
        <w:tc>
          <w:tcPr>
            <w:tcW w:w="19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GB 4806.7-2016</w:t>
            </w:r>
          </w:p>
        </w:tc>
        <w:tc>
          <w:tcPr>
            <w:tcW w:w="11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GB 31604.7</w:t>
            </w:r>
          </w:p>
        </w:tc>
        <w:tc>
          <w:tcPr>
            <w:tcW w:w="19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仅适用添加了着色剂的产品</w:t>
            </w:r>
          </w:p>
        </w:tc>
      </w:tr>
      <w:tr>
        <w:tblPrEx>
          <w:tblLayout w:type="fixed"/>
          <w:tblCellMar>
            <w:top w:w="15" w:type="dxa"/>
            <w:left w:w="15" w:type="dxa"/>
            <w:bottom w:w="15" w:type="dxa"/>
            <w:right w:w="15" w:type="dxa"/>
          </w:tblCellMar>
        </w:tblPrEx>
        <w:trPr>
          <w:trHeight w:val="23" w:hRule="atLeast"/>
        </w:trPr>
        <w:tc>
          <w:tcPr>
            <w:tcW w:w="1035" w:type="dxa"/>
            <w:vMerge w:val="continue"/>
            <w:tcBorders>
              <w:left w:val="single" w:color="000000"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p>
        </w:tc>
        <w:tc>
          <w:tcPr>
            <w:tcW w:w="930" w:type="dxa"/>
            <w:vMerge w:val="continue"/>
            <w:tcBorders>
              <w:left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p>
        </w:tc>
        <w:tc>
          <w:tcPr>
            <w:tcW w:w="6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5</w:t>
            </w:r>
          </w:p>
        </w:tc>
        <w:tc>
          <w:tcPr>
            <w:tcW w:w="18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感官要求</w:t>
            </w:r>
          </w:p>
        </w:tc>
        <w:tc>
          <w:tcPr>
            <w:tcW w:w="19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GB 4806.7-2016</w:t>
            </w:r>
          </w:p>
        </w:tc>
        <w:tc>
          <w:tcPr>
            <w:tcW w:w="11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GB 4806.7</w:t>
            </w:r>
          </w:p>
        </w:tc>
        <w:tc>
          <w:tcPr>
            <w:tcW w:w="190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p>
        </w:tc>
      </w:tr>
      <w:tr>
        <w:tblPrEx>
          <w:tblLayout w:type="fixed"/>
          <w:tblCellMar>
            <w:top w:w="15" w:type="dxa"/>
            <w:left w:w="15" w:type="dxa"/>
            <w:bottom w:w="15" w:type="dxa"/>
            <w:right w:w="15" w:type="dxa"/>
          </w:tblCellMar>
        </w:tblPrEx>
        <w:trPr>
          <w:trHeight w:val="23" w:hRule="atLeast"/>
        </w:trPr>
        <w:tc>
          <w:tcPr>
            <w:tcW w:w="1035" w:type="dxa"/>
            <w:vMerge w:val="continue"/>
            <w:tcBorders>
              <w:left w:val="single" w:color="000000"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p>
        </w:tc>
        <w:tc>
          <w:tcPr>
            <w:tcW w:w="930" w:type="dxa"/>
            <w:vMerge w:val="continue"/>
            <w:tcBorders>
              <w:left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p>
        </w:tc>
        <w:tc>
          <w:tcPr>
            <w:tcW w:w="6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6</w:t>
            </w:r>
          </w:p>
        </w:tc>
        <w:tc>
          <w:tcPr>
            <w:tcW w:w="18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邻苯类增塑剂</w:t>
            </w:r>
          </w:p>
        </w:tc>
        <w:tc>
          <w:tcPr>
            <w:tcW w:w="19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GB 9685-2016</w:t>
            </w:r>
          </w:p>
        </w:tc>
        <w:tc>
          <w:tcPr>
            <w:tcW w:w="11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GB 31604.30</w:t>
            </w:r>
          </w:p>
        </w:tc>
        <w:tc>
          <w:tcPr>
            <w:tcW w:w="1900" w:type="dxa"/>
            <w:tcBorders>
              <w:top w:val="single" w:color="auto"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p>
        </w:tc>
      </w:tr>
      <w:tr>
        <w:tblPrEx>
          <w:tblLayout w:type="fixed"/>
          <w:tblCellMar>
            <w:top w:w="15" w:type="dxa"/>
            <w:left w:w="15" w:type="dxa"/>
            <w:bottom w:w="15" w:type="dxa"/>
            <w:right w:w="15" w:type="dxa"/>
          </w:tblCellMar>
        </w:tblPrEx>
        <w:trPr>
          <w:trHeight w:val="23" w:hRule="atLeast"/>
        </w:trPr>
        <w:tc>
          <w:tcPr>
            <w:tcW w:w="1035" w:type="dxa"/>
            <w:vMerge w:val="continue"/>
            <w:tcBorders>
              <w:left w:val="single" w:color="000000"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p>
        </w:tc>
        <w:tc>
          <w:tcPr>
            <w:tcW w:w="930" w:type="dxa"/>
            <w:vMerge w:val="continue"/>
            <w:tcBorders>
              <w:left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p>
        </w:tc>
        <w:tc>
          <w:tcPr>
            <w:tcW w:w="6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7</w:t>
            </w:r>
          </w:p>
        </w:tc>
        <w:tc>
          <w:tcPr>
            <w:tcW w:w="18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甲醛迁移量</w:t>
            </w:r>
          </w:p>
        </w:tc>
        <w:tc>
          <w:tcPr>
            <w:tcW w:w="19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GB 4806.6-2016</w:t>
            </w:r>
          </w:p>
        </w:tc>
        <w:tc>
          <w:tcPr>
            <w:tcW w:w="11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GB 31604.48</w:t>
            </w:r>
          </w:p>
        </w:tc>
        <w:tc>
          <w:tcPr>
            <w:tcW w:w="1900" w:type="dxa"/>
            <w:vMerge w:val="restart"/>
            <w:tcBorders>
              <w:top w:val="single" w:color="auto" w:sz="4" w:space="0"/>
              <w:left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限密胺材质</w:t>
            </w:r>
          </w:p>
        </w:tc>
      </w:tr>
      <w:tr>
        <w:tblPrEx>
          <w:tblLayout w:type="fixed"/>
          <w:tblCellMar>
            <w:top w:w="15" w:type="dxa"/>
            <w:left w:w="15" w:type="dxa"/>
            <w:bottom w:w="15" w:type="dxa"/>
            <w:right w:w="15" w:type="dxa"/>
          </w:tblCellMar>
        </w:tblPrEx>
        <w:trPr>
          <w:trHeight w:val="23" w:hRule="atLeast"/>
        </w:trPr>
        <w:tc>
          <w:tcPr>
            <w:tcW w:w="1035" w:type="dxa"/>
            <w:vMerge w:val="continue"/>
            <w:tcBorders>
              <w:left w:val="single" w:color="000000"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p>
        </w:tc>
        <w:tc>
          <w:tcPr>
            <w:tcW w:w="930" w:type="dxa"/>
            <w:vMerge w:val="continue"/>
            <w:tcBorders>
              <w:left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p>
        </w:tc>
        <w:tc>
          <w:tcPr>
            <w:tcW w:w="66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8</w:t>
            </w:r>
          </w:p>
        </w:tc>
        <w:tc>
          <w:tcPr>
            <w:tcW w:w="183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三聚氰胺迁移量</w:t>
            </w:r>
          </w:p>
        </w:tc>
        <w:tc>
          <w:tcPr>
            <w:tcW w:w="198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GB 4806.6-2016</w:t>
            </w:r>
          </w:p>
        </w:tc>
        <w:tc>
          <w:tcPr>
            <w:tcW w:w="1160"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GB 31604.15</w:t>
            </w:r>
          </w:p>
        </w:tc>
        <w:tc>
          <w:tcPr>
            <w:tcW w:w="1900" w:type="dxa"/>
            <w:vMerge w:val="continue"/>
            <w:tcBorders>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p>
        </w:tc>
      </w:tr>
      <w:tr>
        <w:tblPrEx>
          <w:tblLayout w:type="fixed"/>
          <w:tblCellMar>
            <w:top w:w="15" w:type="dxa"/>
            <w:left w:w="15" w:type="dxa"/>
            <w:bottom w:w="15" w:type="dxa"/>
            <w:right w:w="15" w:type="dxa"/>
          </w:tblCellMar>
        </w:tblPrEx>
        <w:trPr>
          <w:trHeight w:val="23" w:hRule="atLeast"/>
        </w:trPr>
        <w:tc>
          <w:tcPr>
            <w:tcW w:w="1035" w:type="dxa"/>
            <w:vMerge w:val="continue"/>
            <w:tcBorders>
              <w:left w:val="single" w:color="000000"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p>
        </w:tc>
        <w:tc>
          <w:tcPr>
            <w:tcW w:w="930" w:type="dxa"/>
            <w:vMerge w:val="restart"/>
            <w:tcBorders>
              <w:top w:val="single" w:color="auto" w:sz="4" w:space="0"/>
              <w:left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硅胶</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餐饮具</w:t>
            </w:r>
          </w:p>
        </w:tc>
        <w:tc>
          <w:tcPr>
            <w:tcW w:w="66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1</w:t>
            </w:r>
          </w:p>
        </w:tc>
        <w:tc>
          <w:tcPr>
            <w:tcW w:w="183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总迁移量</w:t>
            </w:r>
          </w:p>
        </w:tc>
        <w:tc>
          <w:tcPr>
            <w:tcW w:w="198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GB 4806.11-2016</w:t>
            </w:r>
          </w:p>
        </w:tc>
        <w:tc>
          <w:tcPr>
            <w:tcW w:w="1160"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GB 31604.8</w:t>
            </w:r>
          </w:p>
        </w:tc>
        <w:tc>
          <w:tcPr>
            <w:tcW w:w="1900"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p>
        </w:tc>
      </w:tr>
      <w:tr>
        <w:tblPrEx>
          <w:tblLayout w:type="fixed"/>
          <w:tblCellMar>
            <w:top w:w="15" w:type="dxa"/>
            <w:left w:w="15" w:type="dxa"/>
            <w:bottom w:w="15" w:type="dxa"/>
            <w:right w:w="15" w:type="dxa"/>
          </w:tblCellMar>
        </w:tblPrEx>
        <w:trPr>
          <w:trHeight w:val="23" w:hRule="atLeast"/>
        </w:trPr>
        <w:tc>
          <w:tcPr>
            <w:tcW w:w="1035" w:type="dxa"/>
            <w:vMerge w:val="continue"/>
            <w:tcBorders>
              <w:left w:val="single" w:color="000000"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p>
        </w:tc>
        <w:tc>
          <w:tcPr>
            <w:tcW w:w="930" w:type="dxa"/>
            <w:vMerge w:val="continue"/>
            <w:tcBorders>
              <w:left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p>
        </w:tc>
        <w:tc>
          <w:tcPr>
            <w:tcW w:w="66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2</w:t>
            </w:r>
          </w:p>
        </w:tc>
        <w:tc>
          <w:tcPr>
            <w:tcW w:w="183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高锰酸钾消耗量</w:t>
            </w:r>
          </w:p>
        </w:tc>
        <w:tc>
          <w:tcPr>
            <w:tcW w:w="198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GB 4806.11-2016</w:t>
            </w:r>
          </w:p>
        </w:tc>
        <w:tc>
          <w:tcPr>
            <w:tcW w:w="1160"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GB 31604.2</w:t>
            </w:r>
          </w:p>
        </w:tc>
        <w:tc>
          <w:tcPr>
            <w:tcW w:w="1900"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p>
        </w:tc>
      </w:tr>
      <w:tr>
        <w:tblPrEx>
          <w:tblLayout w:type="fixed"/>
          <w:tblCellMar>
            <w:top w:w="15" w:type="dxa"/>
            <w:left w:w="15" w:type="dxa"/>
            <w:bottom w:w="15" w:type="dxa"/>
            <w:right w:w="15" w:type="dxa"/>
          </w:tblCellMar>
        </w:tblPrEx>
        <w:trPr>
          <w:trHeight w:val="23" w:hRule="atLeast"/>
        </w:trPr>
        <w:tc>
          <w:tcPr>
            <w:tcW w:w="1035" w:type="dxa"/>
            <w:vMerge w:val="continue"/>
            <w:tcBorders>
              <w:left w:val="single" w:color="000000"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p>
        </w:tc>
        <w:tc>
          <w:tcPr>
            <w:tcW w:w="930" w:type="dxa"/>
            <w:vMerge w:val="continue"/>
            <w:tcBorders>
              <w:left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p>
        </w:tc>
        <w:tc>
          <w:tcPr>
            <w:tcW w:w="66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3</w:t>
            </w:r>
          </w:p>
        </w:tc>
        <w:tc>
          <w:tcPr>
            <w:tcW w:w="183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重金属（以Pb计）</w:t>
            </w:r>
          </w:p>
        </w:tc>
        <w:tc>
          <w:tcPr>
            <w:tcW w:w="198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GB 4806.11-2016</w:t>
            </w:r>
          </w:p>
        </w:tc>
        <w:tc>
          <w:tcPr>
            <w:tcW w:w="1160"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GB 31604.9</w:t>
            </w:r>
          </w:p>
        </w:tc>
        <w:tc>
          <w:tcPr>
            <w:tcW w:w="1900"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p>
        </w:tc>
      </w:tr>
      <w:tr>
        <w:tblPrEx>
          <w:tblLayout w:type="fixed"/>
          <w:tblCellMar>
            <w:top w:w="15" w:type="dxa"/>
            <w:left w:w="15" w:type="dxa"/>
            <w:bottom w:w="15" w:type="dxa"/>
            <w:right w:w="15" w:type="dxa"/>
          </w:tblCellMar>
        </w:tblPrEx>
        <w:trPr>
          <w:trHeight w:val="23" w:hRule="atLeast"/>
        </w:trPr>
        <w:tc>
          <w:tcPr>
            <w:tcW w:w="1035" w:type="dxa"/>
            <w:vMerge w:val="continue"/>
            <w:tcBorders>
              <w:left w:val="single" w:color="000000" w:sz="4" w:space="0"/>
              <w:bottom w:val="single" w:color="000000"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p>
        </w:tc>
        <w:tc>
          <w:tcPr>
            <w:tcW w:w="930" w:type="dxa"/>
            <w:vMerge w:val="continue"/>
            <w:tcBorders>
              <w:left w:val="single" w:color="auto"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p>
        </w:tc>
        <w:tc>
          <w:tcPr>
            <w:tcW w:w="66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4</w:t>
            </w:r>
          </w:p>
        </w:tc>
        <w:tc>
          <w:tcPr>
            <w:tcW w:w="183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感官要求</w:t>
            </w:r>
          </w:p>
        </w:tc>
        <w:tc>
          <w:tcPr>
            <w:tcW w:w="198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GB 4806.11-2016</w:t>
            </w:r>
          </w:p>
        </w:tc>
        <w:tc>
          <w:tcPr>
            <w:tcW w:w="1160"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GB 4806.11</w:t>
            </w:r>
          </w:p>
        </w:tc>
        <w:tc>
          <w:tcPr>
            <w:tcW w:w="1900"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sz w:val="21"/>
                <w:szCs w:val="21"/>
                <w:lang w:bidi="ar"/>
              </w:rPr>
            </w:pPr>
          </w:p>
        </w:tc>
      </w:tr>
    </w:tbl>
    <w:p>
      <w:pPr>
        <w:spacing w:line="600" w:lineRule="exact"/>
        <w:ind w:firstLine="640" w:firstLineChars="200"/>
        <w:rPr>
          <w:rFonts w:hint="eastAsia" w:cs="仿宋_GB2312"/>
          <w:szCs w:val="32"/>
        </w:rPr>
      </w:pPr>
      <w:r>
        <w:rPr>
          <w:rFonts w:hint="eastAsia" w:cs="仿宋_GB2312"/>
          <w:szCs w:val="32"/>
        </w:rPr>
        <w:t>检验应注意的问题：</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cs="仿宋_GB2312"/>
          <w:szCs w:val="32"/>
        </w:rPr>
      </w:pPr>
      <w:r>
        <w:rPr>
          <w:rFonts w:hint="eastAsia" w:eastAsia="仿宋" w:cs="仿宋"/>
          <w:szCs w:val="32"/>
        </w:rPr>
        <w:t>①</w:t>
      </w:r>
      <w:r>
        <w:rPr>
          <w:rFonts w:hint="eastAsia" w:cs="仿宋_GB2312"/>
          <w:szCs w:val="32"/>
        </w:rPr>
        <w:t>被检产品明示的质量要求高于本细则中检验项目依据的标准要求时，应按被检产品明示的质量要求判定。若被检产品明示的质量要求低于本细则中检验项目依据的国家或行业强制性标准要求时，应按国家或行业强制性标准要求判定；若被检产品明示的质量要求低于或包含本细则中检验项目依据的推荐性标准要求时，应以被检产品明示的质量要求判定；若被检产品明示的质量要求缺少本细则中的检验项目（主要是产品通用重要特征值）时，应按本细则中检验项目依据的标准要求进行检验并判定；若被检产品明示的质量要求缺少本细则中检验项目依据的推荐性标准要求时，该项目不参与判定，但应在检验报告备注中进行说明。</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cs="仿宋_GB2312"/>
          <w:szCs w:val="32"/>
        </w:rPr>
      </w:pPr>
      <w:r>
        <w:rPr>
          <w:rFonts w:hint="eastAsia" w:cs="仿宋_GB2312"/>
          <w:szCs w:val="32"/>
        </w:rPr>
        <w:t>②若样品出现封样状态破坏或样品异常损坏的情况，影响检验结果，则停止对该样品的检验。</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eastAsia="黑体"/>
          <w:bCs/>
          <w:szCs w:val="32"/>
        </w:rPr>
      </w:pPr>
      <w:r>
        <w:rPr>
          <w:rFonts w:hint="eastAsia" w:eastAsia="黑体"/>
          <w:bCs/>
          <w:szCs w:val="32"/>
        </w:rPr>
        <w:t>5</w:t>
      </w:r>
      <w:r>
        <w:rPr>
          <w:rFonts w:hint="eastAsia" w:eastAsia="黑体"/>
          <w:bCs/>
          <w:szCs w:val="32"/>
          <w:lang w:eastAsia="zh-CN"/>
        </w:rPr>
        <w:t>．</w:t>
      </w:r>
      <w:r>
        <w:rPr>
          <w:rFonts w:hint="eastAsia" w:eastAsia="黑体"/>
          <w:bCs/>
          <w:szCs w:val="32"/>
        </w:rPr>
        <w:t>判定原则</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cs="仿宋_GB2312"/>
          <w:szCs w:val="32"/>
        </w:rPr>
      </w:pPr>
      <w:r>
        <w:rPr>
          <w:rFonts w:hint="eastAsia" w:cs="仿宋_GB2312"/>
          <w:szCs w:val="32"/>
        </w:rPr>
        <w:t>经检验，检验项目全部合格，判定为被抽查产品合格；检验项目中任一项或一项以上不合格，判定为被抽查产品不合格。</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eastAsia="黑体"/>
          <w:bCs/>
          <w:szCs w:val="32"/>
        </w:rPr>
      </w:pPr>
      <w:r>
        <w:rPr>
          <w:rFonts w:hint="eastAsia" w:eastAsia="黑体"/>
          <w:bCs/>
          <w:szCs w:val="32"/>
        </w:rPr>
        <w:t>6</w:t>
      </w:r>
      <w:r>
        <w:rPr>
          <w:rFonts w:hint="eastAsia" w:eastAsia="黑体"/>
          <w:bCs/>
          <w:szCs w:val="32"/>
          <w:lang w:eastAsia="zh-CN"/>
        </w:rPr>
        <w:t>．</w:t>
      </w:r>
      <w:r>
        <w:rPr>
          <w:rFonts w:hint="eastAsia" w:eastAsia="黑体"/>
          <w:bCs/>
          <w:szCs w:val="32"/>
        </w:rPr>
        <w:t>异议处理复检</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color w:val="000000"/>
        </w:rPr>
      </w:pPr>
      <w:r>
        <w:rPr>
          <w:rFonts w:hint="eastAsia"/>
          <w:color w:val="000000"/>
        </w:rPr>
        <w:t>对判定不合格产品进行复检时，按以下方式进行：</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color w:val="000000"/>
        </w:rPr>
      </w:pPr>
      <w:r>
        <w:rPr>
          <w:rFonts w:hint="eastAsia"/>
          <w:color w:val="000000"/>
        </w:rPr>
        <w:t>6.1对不合格项目复检时，采用备用样复检。复检结论为最终检验结论。</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color w:val="000000"/>
        </w:rPr>
      </w:pPr>
      <w:r>
        <w:rPr>
          <w:rFonts w:hint="eastAsia"/>
          <w:color w:val="000000"/>
        </w:rPr>
        <w:t>6.2不进行复检情况：</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color w:val="000000"/>
        </w:rPr>
      </w:pPr>
      <w:r>
        <w:rPr>
          <w:rFonts w:hint="eastAsia"/>
          <w:color w:val="000000"/>
        </w:rPr>
        <w:t>①被检方提出复检时，产品在复检有效期内于正常贮存条件下已变质；</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color w:val="000000"/>
        </w:rPr>
      </w:pPr>
      <w:r>
        <w:rPr>
          <w:rFonts w:hint="eastAsia"/>
          <w:color w:val="000000"/>
        </w:rPr>
        <w:t>②法律、法规规定不得复检的其他情况。</w:t>
      </w:r>
    </w:p>
    <w:p>
      <w:pPr>
        <w:textAlignment w:val="center"/>
        <w:rPr>
          <w:rFonts w:hint="eastAsia" w:eastAsia="黑体" w:cs="黑体"/>
          <w:szCs w:val="32"/>
        </w:rPr>
      </w:pPr>
    </w:p>
    <w:p>
      <w:pPr>
        <w:textAlignment w:val="center"/>
        <w:rPr>
          <w:rFonts w:hint="eastAsia" w:eastAsia="黑体" w:cs="黑体"/>
          <w:szCs w:val="32"/>
        </w:rPr>
      </w:pPr>
    </w:p>
    <w:p>
      <w:pPr>
        <w:textAlignment w:val="center"/>
        <w:rPr>
          <w:rFonts w:hint="eastAsia" w:eastAsia="黑体" w:cs="黑体"/>
          <w:szCs w:val="32"/>
          <w:lang w:val="en-US" w:eastAsia="zh-CN"/>
        </w:rPr>
      </w:pPr>
      <w:r>
        <w:rPr>
          <w:rFonts w:hint="eastAsia" w:eastAsia="黑体" w:cs="黑体"/>
          <w:szCs w:val="32"/>
        </w:rPr>
        <w:t>附件</w:t>
      </w:r>
      <w:r>
        <w:rPr>
          <w:rFonts w:hint="eastAsia" w:eastAsia="黑体" w:cs="黑体"/>
          <w:szCs w:val="32"/>
          <w:lang w:val="en-US" w:eastAsia="zh-CN"/>
        </w:rPr>
        <w:t>3</w:t>
      </w:r>
    </w:p>
    <w:p>
      <w:pPr>
        <w:keepNext w:val="0"/>
        <w:keepLines w:val="0"/>
        <w:pageBreakBefore w:val="0"/>
        <w:widowControl w:val="0"/>
        <w:kinsoku/>
        <w:wordWrap/>
        <w:overflowPunct/>
        <w:topLinePunct w:val="0"/>
        <w:autoSpaceDE/>
        <w:autoSpaceDN/>
        <w:bidi w:val="0"/>
        <w:adjustRightInd/>
        <w:snapToGrid/>
        <w:spacing w:line="240" w:lineRule="exact"/>
        <w:textAlignment w:val="center"/>
        <w:rPr>
          <w:rFonts w:hint="eastAsia" w:eastAsia="黑体" w:cs="黑体"/>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2023年广东省</w:t>
      </w:r>
      <w:r>
        <w:rPr>
          <w:rFonts w:hint="eastAsia" w:ascii="方正小标宋简体" w:hAnsi="方正小标宋简体" w:eastAsia="方正小标宋简体" w:cs="方正小标宋简体"/>
          <w:sz w:val="44"/>
          <w:szCs w:val="44"/>
          <w:lang w:eastAsia="zh-CN"/>
        </w:rPr>
        <w:t>密胺餐具</w:t>
      </w:r>
      <w:r>
        <w:rPr>
          <w:rFonts w:hint="eastAsia" w:ascii="方正小标宋简体" w:hAnsi="方正小标宋简体" w:eastAsia="方正小标宋简体" w:cs="方正小标宋简体"/>
          <w:sz w:val="44"/>
          <w:szCs w:val="44"/>
        </w:rPr>
        <w:t>生产领域质量</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center"/>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sz w:val="44"/>
          <w:szCs w:val="44"/>
        </w:rPr>
        <w:t>安全监督抽查实施细则</w:t>
      </w:r>
    </w:p>
    <w:p>
      <w:pPr>
        <w:keepNext w:val="0"/>
        <w:keepLines w:val="0"/>
        <w:pageBreakBefore w:val="0"/>
        <w:widowControl w:val="0"/>
        <w:kinsoku/>
        <w:wordWrap/>
        <w:overflowPunct/>
        <w:topLinePunct w:val="0"/>
        <w:autoSpaceDE w:val="0"/>
        <w:autoSpaceDN w:val="0"/>
        <w:bidi w:val="0"/>
        <w:adjustRightInd w:val="0"/>
        <w:snapToGrid/>
        <w:spacing w:line="240" w:lineRule="exact"/>
        <w:ind w:firstLine="640" w:firstLineChars="200"/>
        <w:textAlignment w:val="auto"/>
        <w:rPr>
          <w:rFonts w:hint="eastAsia" w:eastAsia="黑体"/>
          <w:bCs/>
          <w:szCs w:val="32"/>
        </w:rPr>
      </w:pP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eastAsia="黑体"/>
          <w:bCs/>
          <w:szCs w:val="32"/>
        </w:rPr>
      </w:pPr>
      <w:r>
        <w:rPr>
          <w:rFonts w:hint="eastAsia" w:eastAsia="黑体"/>
          <w:bCs/>
          <w:szCs w:val="32"/>
        </w:rPr>
        <w:t>1</w:t>
      </w:r>
      <w:r>
        <w:rPr>
          <w:rFonts w:hint="eastAsia" w:eastAsia="黑体"/>
          <w:bCs/>
          <w:szCs w:val="32"/>
          <w:lang w:eastAsia="zh-CN"/>
        </w:rPr>
        <w:t>．</w:t>
      </w:r>
      <w:r>
        <w:rPr>
          <w:rFonts w:hint="eastAsia" w:eastAsia="黑体"/>
          <w:bCs/>
          <w:szCs w:val="32"/>
        </w:rPr>
        <w:t>适用范围</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cs="仿宋_GB2312"/>
          <w:szCs w:val="32"/>
        </w:rPr>
      </w:pPr>
      <w:r>
        <w:rPr>
          <w:rFonts w:hint="eastAsia" w:cs="仿宋_GB2312"/>
          <w:szCs w:val="32"/>
        </w:rPr>
        <w:t>本细则适用于广东省生产领域食品相关产品监督抽查，监督抽查产品范围为广东省内生产领域的</w:t>
      </w:r>
      <w:r>
        <w:rPr>
          <w:rFonts w:hint="eastAsia" w:cs="仿宋_GB2312"/>
          <w:szCs w:val="32"/>
          <w:lang w:eastAsia="zh-CN"/>
        </w:rPr>
        <w:t>密胺餐具</w:t>
      </w:r>
      <w:r>
        <w:rPr>
          <w:rFonts w:hint="eastAsia" w:cs="仿宋_GB2312"/>
          <w:szCs w:val="32"/>
        </w:rPr>
        <w:t>。</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cs="宋体"/>
          <w:bCs/>
          <w:szCs w:val="32"/>
        </w:rPr>
      </w:pPr>
      <w:r>
        <w:rPr>
          <w:rFonts w:hint="eastAsia" w:eastAsia="黑体"/>
          <w:bCs/>
          <w:szCs w:val="32"/>
        </w:rPr>
        <w:t>2</w:t>
      </w:r>
      <w:r>
        <w:rPr>
          <w:rFonts w:hint="eastAsia" w:eastAsia="黑体"/>
          <w:bCs/>
          <w:szCs w:val="32"/>
          <w:lang w:eastAsia="zh-CN"/>
        </w:rPr>
        <w:t>．</w:t>
      </w:r>
      <w:r>
        <w:rPr>
          <w:rFonts w:hint="eastAsia" w:eastAsia="黑体"/>
          <w:bCs/>
          <w:szCs w:val="32"/>
        </w:rPr>
        <w:t>检验依据</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szCs w:val="32"/>
        </w:rPr>
      </w:pPr>
      <w:r>
        <w:rPr>
          <w:rFonts w:hint="default" w:ascii="Times New Roman" w:hAnsi="Times New Roman" w:eastAsia="仿宋_GB2312" w:cs="Times New Roman"/>
          <w:szCs w:val="32"/>
        </w:rPr>
        <w:t>GB 4806.6-2016《食品安全国家标准 食品接触用塑料树脂》</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szCs w:val="32"/>
        </w:rPr>
      </w:pPr>
      <w:r>
        <w:rPr>
          <w:rFonts w:hint="default" w:ascii="Times New Roman" w:hAnsi="Times New Roman" w:eastAsia="仿宋_GB2312" w:cs="Times New Roman"/>
          <w:szCs w:val="32"/>
        </w:rPr>
        <w:t>GB 4806.7-2016《食品安全国家标准 食品接触用塑料材料及制品》</w:t>
      </w:r>
    </w:p>
    <w:p>
      <w:pPr>
        <w:keepNext w:val="0"/>
        <w:keepLines w:val="0"/>
        <w:pageBreakBefore w:val="0"/>
        <w:widowControl w:val="0"/>
        <w:kinsoku/>
        <w:wordWrap/>
        <w:overflowPunct/>
        <w:topLinePunct w:val="0"/>
        <w:bidi w:val="0"/>
        <w:snapToGrid/>
        <w:spacing w:line="560" w:lineRule="exact"/>
        <w:ind w:firstLine="616" w:firstLineChars="200"/>
        <w:textAlignment w:val="auto"/>
        <w:rPr>
          <w:rFonts w:hint="eastAsia" w:cs="仿宋_GB2312"/>
          <w:szCs w:val="32"/>
        </w:rPr>
      </w:pPr>
      <w:r>
        <w:rPr>
          <w:rFonts w:hint="eastAsia" w:ascii="CESI仿宋-GB2312" w:hAnsi="CESI仿宋-GB2312" w:eastAsia="CESI仿宋-GB2312" w:cs="CESI仿宋-GB2312"/>
          <w:spacing w:val="-6"/>
          <w:sz w:val="32"/>
          <w:szCs w:val="32"/>
        </w:rPr>
        <w:t>《食品用塑料包装、容</w:t>
      </w:r>
      <w:r>
        <w:rPr>
          <w:rFonts w:hint="eastAsia" w:cs="仿宋_GB2312"/>
          <w:spacing w:val="-6"/>
          <w:sz w:val="32"/>
          <w:szCs w:val="32"/>
        </w:rPr>
        <w:t>器、工具等制品生产许可审查细则》</w:t>
      </w:r>
      <w:r>
        <w:rPr>
          <w:rFonts w:hint="eastAsia" w:cs="仿宋_GB2312"/>
          <w:szCs w:val="32"/>
        </w:rPr>
        <w:t>等</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cs="仿宋_GB2312"/>
          <w:szCs w:val="32"/>
        </w:rPr>
      </w:pPr>
      <w:r>
        <w:rPr>
          <w:rFonts w:hint="eastAsia" w:cs="仿宋_GB2312"/>
          <w:szCs w:val="32"/>
        </w:rPr>
        <w:t>其他现行有效的企业标准及产品明示质量要求</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cs="仿宋_GB2312"/>
          <w:szCs w:val="32"/>
        </w:rPr>
      </w:pPr>
      <w:r>
        <w:rPr>
          <w:rFonts w:hint="eastAsia" w:cs="仿宋_GB2312"/>
          <w:szCs w:val="32"/>
        </w:rPr>
        <w:t>相关的法律法规、部门规章和规范</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eastAsia="黑体"/>
          <w:bCs/>
          <w:szCs w:val="32"/>
        </w:rPr>
      </w:pPr>
      <w:r>
        <w:rPr>
          <w:rFonts w:hint="eastAsia" w:eastAsia="黑体"/>
          <w:bCs/>
          <w:szCs w:val="32"/>
        </w:rPr>
        <w:t>3</w:t>
      </w:r>
      <w:r>
        <w:rPr>
          <w:rFonts w:hint="eastAsia" w:eastAsia="黑体"/>
          <w:bCs/>
          <w:szCs w:val="32"/>
          <w:lang w:eastAsia="zh-CN"/>
        </w:rPr>
        <w:t>．</w:t>
      </w:r>
      <w:r>
        <w:rPr>
          <w:rFonts w:hint="eastAsia" w:eastAsia="黑体"/>
          <w:bCs/>
          <w:szCs w:val="32"/>
        </w:rPr>
        <w:t>抽样</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cs="仿宋_GB2312"/>
          <w:szCs w:val="32"/>
          <w:lang w:bidi="ar"/>
        </w:rPr>
      </w:pPr>
      <w:r>
        <w:rPr>
          <w:rFonts w:hint="eastAsia" w:cs="仿宋_GB2312"/>
          <w:szCs w:val="32"/>
          <w:lang w:bidi="ar"/>
        </w:rPr>
        <w:t>抽取样品应为同一型号规格、同一批次的产品。产品抽样数量可根据样品的实际大小，在满足检验的条件下作适当调整；抽取的两份样品分别单独封装，一份作为检验样品，一份作为留样，留样封存于承检机构。抽样数量见下表：</w:t>
      </w:r>
    </w:p>
    <w:tbl>
      <w:tblPr>
        <w:tblStyle w:val="3"/>
        <w:tblW w:w="9410" w:type="dxa"/>
        <w:jc w:val="center"/>
        <w:tblInd w:w="0" w:type="dxa"/>
        <w:tblLayout w:type="fixed"/>
        <w:tblCellMar>
          <w:top w:w="15" w:type="dxa"/>
          <w:left w:w="15" w:type="dxa"/>
          <w:bottom w:w="15" w:type="dxa"/>
          <w:right w:w="15" w:type="dxa"/>
        </w:tblCellMar>
      </w:tblPr>
      <w:tblGrid>
        <w:gridCol w:w="1424"/>
        <w:gridCol w:w="3187"/>
        <w:gridCol w:w="4799"/>
      </w:tblGrid>
      <w:tr>
        <w:tblPrEx>
          <w:tblLayout w:type="fixed"/>
          <w:tblCellMar>
            <w:top w:w="15" w:type="dxa"/>
            <w:left w:w="15" w:type="dxa"/>
            <w:bottom w:w="15" w:type="dxa"/>
            <w:right w:w="15" w:type="dxa"/>
          </w:tblCellMar>
        </w:tblPrEx>
        <w:trPr>
          <w:trHeight w:val="23" w:hRule="atLeast"/>
          <w:jc w:val="center"/>
        </w:trPr>
        <w:tc>
          <w:tcPr>
            <w:tcW w:w="14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eastAsia" w:ascii="黑体" w:hAnsi="黑体" w:eastAsia="黑体" w:cs="黑体"/>
                <w:b w:val="0"/>
                <w:bCs/>
                <w:sz w:val="21"/>
                <w:szCs w:val="21"/>
              </w:rPr>
            </w:pPr>
            <w:r>
              <w:rPr>
                <w:rFonts w:hint="eastAsia" w:ascii="黑体" w:hAnsi="黑体" w:eastAsia="黑体" w:cs="黑体"/>
                <w:b w:val="0"/>
                <w:bCs/>
                <w:sz w:val="21"/>
                <w:szCs w:val="21"/>
                <w:lang w:bidi="ar"/>
              </w:rPr>
              <w:t>抽查产品</w:t>
            </w:r>
          </w:p>
        </w:tc>
        <w:tc>
          <w:tcPr>
            <w:tcW w:w="31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eastAsia" w:ascii="黑体" w:hAnsi="黑体" w:eastAsia="黑体" w:cs="黑体"/>
                <w:b w:val="0"/>
                <w:bCs/>
                <w:sz w:val="21"/>
                <w:szCs w:val="21"/>
              </w:rPr>
            </w:pPr>
            <w:r>
              <w:rPr>
                <w:rFonts w:hint="eastAsia" w:ascii="黑体" w:hAnsi="黑体" w:eastAsia="黑体" w:cs="黑体"/>
                <w:b w:val="0"/>
                <w:bCs/>
                <w:sz w:val="21"/>
                <w:szCs w:val="21"/>
                <w:lang w:bidi="ar"/>
              </w:rPr>
              <w:t>相关产品</w:t>
            </w:r>
          </w:p>
        </w:tc>
        <w:tc>
          <w:tcPr>
            <w:tcW w:w="4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eastAsia" w:ascii="黑体" w:hAnsi="黑体" w:eastAsia="黑体" w:cs="黑体"/>
                <w:b w:val="0"/>
                <w:bCs/>
                <w:sz w:val="21"/>
                <w:szCs w:val="21"/>
              </w:rPr>
            </w:pPr>
            <w:r>
              <w:rPr>
                <w:rFonts w:hint="eastAsia" w:ascii="黑体" w:hAnsi="黑体" w:eastAsia="黑体" w:cs="黑体"/>
                <w:b w:val="0"/>
                <w:bCs/>
                <w:sz w:val="21"/>
                <w:szCs w:val="21"/>
                <w:lang w:bidi="ar"/>
              </w:rPr>
              <w:t>抽样数量</w:t>
            </w:r>
          </w:p>
        </w:tc>
      </w:tr>
      <w:tr>
        <w:tblPrEx>
          <w:tblLayout w:type="fixed"/>
          <w:tblCellMar>
            <w:top w:w="15" w:type="dxa"/>
            <w:left w:w="15" w:type="dxa"/>
            <w:bottom w:w="15" w:type="dxa"/>
            <w:right w:w="15" w:type="dxa"/>
          </w:tblCellMar>
        </w:tblPrEx>
        <w:trPr>
          <w:trHeight w:val="23" w:hRule="atLeast"/>
          <w:jc w:val="center"/>
        </w:trPr>
        <w:tc>
          <w:tcPr>
            <w:tcW w:w="14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密胺餐具</w:t>
            </w:r>
          </w:p>
        </w:tc>
        <w:tc>
          <w:tcPr>
            <w:tcW w:w="31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密胺筷、密胺碗等</w:t>
            </w:r>
          </w:p>
        </w:tc>
        <w:tc>
          <w:tcPr>
            <w:tcW w:w="4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420" w:firstLineChars="200"/>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勺、叉、筷等小件密胺餐具：不少于25个（双），20个作为检验样品，5个作为复检备用样品；</w:t>
            </w:r>
          </w:p>
          <w:p>
            <w:pPr>
              <w:keepNext w:val="0"/>
              <w:keepLines w:val="0"/>
              <w:pageBreakBefore w:val="0"/>
              <w:widowControl w:val="0"/>
              <w:kinsoku/>
              <w:wordWrap/>
              <w:overflowPunct/>
              <w:topLinePunct w:val="0"/>
              <w:autoSpaceDE/>
              <w:autoSpaceDN/>
              <w:bidi w:val="0"/>
              <w:adjustRightInd/>
              <w:snapToGrid/>
              <w:spacing w:line="340" w:lineRule="exact"/>
              <w:ind w:firstLine="420" w:firstLineChars="200"/>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碗、杯、汤盅、餐碟等密胺餐具：不少于12个，10个作为检验样品，2个作为复检备用样品。</w:t>
            </w:r>
          </w:p>
        </w:tc>
      </w:tr>
    </w:tbl>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sz w:val="21"/>
          <w:szCs w:val="21"/>
          <w:lang w:bidi="ar"/>
        </w:rPr>
      </w:pPr>
      <w:r>
        <w:rPr>
          <w:rFonts w:hint="eastAsia" w:ascii="宋体" w:hAnsi="宋体" w:eastAsia="宋体" w:cs="宋体"/>
          <w:sz w:val="21"/>
          <w:szCs w:val="21"/>
          <w:lang w:bidi="ar"/>
        </w:rPr>
        <w:t>注：需提供产品的标识或符合性声明。</w:t>
      </w:r>
    </w:p>
    <w:p>
      <w:pPr>
        <w:autoSpaceDE w:val="0"/>
        <w:autoSpaceDN w:val="0"/>
        <w:adjustRightInd w:val="0"/>
        <w:spacing w:line="600" w:lineRule="exact"/>
        <w:ind w:firstLine="640" w:firstLineChars="200"/>
        <w:rPr>
          <w:rFonts w:hint="eastAsia" w:eastAsia="黑体"/>
          <w:bCs/>
          <w:szCs w:val="32"/>
        </w:rPr>
      </w:pPr>
      <w:r>
        <w:rPr>
          <w:rFonts w:hint="eastAsia" w:eastAsia="黑体"/>
          <w:bCs/>
          <w:szCs w:val="32"/>
        </w:rPr>
        <w:t>4</w:t>
      </w:r>
      <w:r>
        <w:rPr>
          <w:rFonts w:hint="eastAsia" w:eastAsia="黑体"/>
          <w:bCs/>
          <w:szCs w:val="32"/>
          <w:lang w:eastAsia="zh-CN"/>
        </w:rPr>
        <w:t>．</w:t>
      </w:r>
      <w:r>
        <w:rPr>
          <w:rFonts w:hint="eastAsia" w:eastAsia="黑体"/>
          <w:bCs/>
          <w:szCs w:val="32"/>
        </w:rPr>
        <w:t>检验项目要求</w:t>
      </w:r>
    </w:p>
    <w:tbl>
      <w:tblPr>
        <w:tblStyle w:val="3"/>
        <w:tblW w:w="9078" w:type="dxa"/>
        <w:tblInd w:w="0" w:type="dxa"/>
        <w:tblLayout w:type="fixed"/>
        <w:tblCellMar>
          <w:top w:w="15" w:type="dxa"/>
          <w:left w:w="15" w:type="dxa"/>
          <w:bottom w:w="15" w:type="dxa"/>
          <w:right w:w="15" w:type="dxa"/>
        </w:tblCellMar>
      </w:tblPr>
      <w:tblGrid>
        <w:gridCol w:w="649"/>
        <w:gridCol w:w="2057"/>
        <w:gridCol w:w="2087"/>
        <w:gridCol w:w="1725"/>
        <w:gridCol w:w="2560"/>
      </w:tblGrid>
      <w:tr>
        <w:tblPrEx>
          <w:tblLayout w:type="fixed"/>
          <w:tblCellMar>
            <w:top w:w="15" w:type="dxa"/>
            <w:left w:w="15" w:type="dxa"/>
            <w:bottom w:w="15" w:type="dxa"/>
            <w:right w:w="15" w:type="dxa"/>
          </w:tblCellMar>
        </w:tblPrEx>
        <w:trPr>
          <w:trHeight w:val="285" w:hRule="atLeast"/>
        </w:trPr>
        <w:tc>
          <w:tcPr>
            <w:tcW w:w="64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sz w:val="21"/>
                <w:szCs w:val="21"/>
                <w:lang w:bidi="ar"/>
              </w:rPr>
            </w:pPr>
            <w:r>
              <w:rPr>
                <w:rFonts w:hint="eastAsia" w:ascii="黑体" w:hAnsi="黑体" w:eastAsia="黑体" w:cs="黑体"/>
                <w:sz w:val="21"/>
                <w:szCs w:val="21"/>
                <w:lang w:bidi="ar"/>
              </w:rPr>
              <w:t>序号</w:t>
            </w:r>
          </w:p>
        </w:tc>
        <w:tc>
          <w:tcPr>
            <w:tcW w:w="20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sz w:val="21"/>
                <w:szCs w:val="21"/>
                <w:lang w:bidi="ar"/>
              </w:rPr>
            </w:pPr>
            <w:r>
              <w:rPr>
                <w:rFonts w:hint="eastAsia" w:ascii="黑体" w:hAnsi="黑体" w:eastAsia="黑体" w:cs="黑体"/>
                <w:sz w:val="21"/>
                <w:szCs w:val="21"/>
                <w:lang w:bidi="ar"/>
              </w:rPr>
              <w:t>检验项目</w:t>
            </w:r>
          </w:p>
        </w:tc>
        <w:tc>
          <w:tcPr>
            <w:tcW w:w="20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sz w:val="21"/>
                <w:szCs w:val="21"/>
                <w:lang w:bidi="ar"/>
              </w:rPr>
            </w:pPr>
            <w:r>
              <w:rPr>
                <w:rFonts w:hint="eastAsia" w:ascii="黑体" w:hAnsi="黑体" w:eastAsia="黑体" w:cs="黑体"/>
                <w:sz w:val="21"/>
                <w:szCs w:val="21"/>
                <w:lang w:bidi="ar"/>
              </w:rPr>
              <w:t>依据法律法规或标准</w:t>
            </w:r>
          </w:p>
        </w:tc>
        <w:tc>
          <w:tcPr>
            <w:tcW w:w="17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sz w:val="21"/>
                <w:szCs w:val="21"/>
                <w:lang w:bidi="ar"/>
              </w:rPr>
            </w:pPr>
            <w:r>
              <w:rPr>
                <w:rFonts w:hint="eastAsia" w:ascii="黑体" w:hAnsi="黑体" w:eastAsia="黑体" w:cs="黑体"/>
                <w:sz w:val="21"/>
                <w:szCs w:val="21"/>
                <w:lang w:bidi="ar"/>
              </w:rPr>
              <w:t>检验方法</w:t>
            </w:r>
          </w:p>
        </w:tc>
        <w:tc>
          <w:tcPr>
            <w:tcW w:w="25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sz w:val="21"/>
                <w:szCs w:val="21"/>
                <w:lang w:bidi="ar"/>
              </w:rPr>
            </w:pPr>
            <w:r>
              <w:rPr>
                <w:rFonts w:hint="eastAsia" w:ascii="黑体" w:hAnsi="黑体" w:eastAsia="黑体" w:cs="黑体"/>
                <w:sz w:val="21"/>
                <w:szCs w:val="21"/>
                <w:lang w:bidi="ar"/>
              </w:rPr>
              <w:t>备注</w:t>
            </w:r>
          </w:p>
        </w:tc>
      </w:tr>
      <w:tr>
        <w:tblPrEx>
          <w:tblLayout w:type="fixed"/>
          <w:tblCellMar>
            <w:top w:w="15" w:type="dxa"/>
            <w:left w:w="15" w:type="dxa"/>
            <w:bottom w:w="15" w:type="dxa"/>
            <w:right w:w="15" w:type="dxa"/>
          </w:tblCellMar>
        </w:tblPrEx>
        <w:trPr>
          <w:trHeight w:val="15" w:hRule="atLeast"/>
        </w:trPr>
        <w:tc>
          <w:tcPr>
            <w:tcW w:w="64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1</w:t>
            </w:r>
          </w:p>
        </w:tc>
        <w:tc>
          <w:tcPr>
            <w:tcW w:w="2057" w:type="dxa"/>
            <w:tcBorders>
              <w:top w:val="single" w:color="000000" w:sz="4" w:space="0"/>
              <w:left w:val="single" w:color="auto"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甲醛迁移量</w:t>
            </w:r>
          </w:p>
        </w:tc>
        <w:tc>
          <w:tcPr>
            <w:tcW w:w="2087"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4806.6-2016</w:t>
            </w:r>
          </w:p>
        </w:tc>
        <w:tc>
          <w:tcPr>
            <w:tcW w:w="1725"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 xml:space="preserve"> GB 31604.48</w:t>
            </w:r>
          </w:p>
        </w:tc>
        <w:tc>
          <w:tcPr>
            <w:tcW w:w="2560"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sz w:val="21"/>
                <w:szCs w:val="21"/>
                <w:lang w:bidi="ar"/>
              </w:rPr>
            </w:pPr>
          </w:p>
        </w:tc>
      </w:tr>
      <w:tr>
        <w:tblPrEx>
          <w:tblLayout w:type="fixed"/>
          <w:tblCellMar>
            <w:top w:w="15" w:type="dxa"/>
            <w:left w:w="15" w:type="dxa"/>
            <w:bottom w:w="15" w:type="dxa"/>
            <w:right w:w="15" w:type="dxa"/>
          </w:tblCellMar>
        </w:tblPrEx>
        <w:trPr>
          <w:trHeight w:val="15" w:hRule="atLeast"/>
        </w:trPr>
        <w:tc>
          <w:tcPr>
            <w:tcW w:w="64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2</w:t>
            </w:r>
          </w:p>
        </w:tc>
        <w:tc>
          <w:tcPr>
            <w:tcW w:w="2057" w:type="dxa"/>
            <w:tcBorders>
              <w:top w:val="single" w:color="000000" w:sz="4" w:space="0"/>
              <w:left w:val="single" w:color="auto"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三聚氰胺迁移量</w:t>
            </w:r>
          </w:p>
        </w:tc>
        <w:tc>
          <w:tcPr>
            <w:tcW w:w="2087"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4806.6-2016</w:t>
            </w:r>
          </w:p>
        </w:tc>
        <w:tc>
          <w:tcPr>
            <w:tcW w:w="1725"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 xml:space="preserve"> GB 31604.15</w:t>
            </w:r>
          </w:p>
        </w:tc>
        <w:tc>
          <w:tcPr>
            <w:tcW w:w="2560"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sz w:val="21"/>
                <w:szCs w:val="21"/>
                <w:lang w:bidi="ar"/>
              </w:rPr>
            </w:pPr>
          </w:p>
        </w:tc>
      </w:tr>
      <w:tr>
        <w:tblPrEx>
          <w:tblLayout w:type="fixed"/>
          <w:tblCellMar>
            <w:top w:w="15" w:type="dxa"/>
            <w:left w:w="15" w:type="dxa"/>
            <w:bottom w:w="15" w:type="dxa"/>
            <w:right w:w="15" w:type="dxa"/>
          </w:tblCellMar>
        </w:tblPrEx>
        <w:trPr>
          <w:trHeight w:val="15" w:hRule="atLeast"/>
        </w:trPr>
        <w:tc>
          <w:tcPr>
            <w:tcW w:w="64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3</w:t>
            </w:r>
          </w:p>
        </w:tc>
        <w:tc>
          <w:tcPr>
            <w:tcW w:w="2057" w:type="dxa"/>
            <w:tcBorders>
              <w:top w:val="single" w:color="000000" w:sz="4" w:space="0"/>
              <w:left w:val="single" w:color="auto"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脱色试验</w:t>
            </w:r>
          </w:p>
        </w:tc>
        <w:tc>
          <w:tcPr>
            <w:tcW w:w="2087"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4806.7-2016</w:t>
            </w:r>
          </w:p>
        </w:tc>
        <w:tc>
          <w:tcPr>
            <w:tcW w:w="1725"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31604.7</w:t>
            </w:r>
          </w:p>
        </w:tc>
        <w:tc>
          <w:tcPr>
            <w:tcW w:w="2560"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仅适用添加了着色剂的产品</w:t>
            </w:r>
          </w:p>
        </w:tc>
      </w:tr>
    </w:tbl>
    <w:p>
      <w:pPr>
        <w:keepNext w:val="0"/>
        <w:keepLines w:val="0"/>
        <w:pageBreakBefore w:val="0"/>
        <w:widowControl w:val="0"/>
        <w:kinsoku/>
        <w:wordWrap/>
        <w:overflowPunct/>
        <w:topLinePunct w:val="0"/>
        <w:bidi w:val="0"/>
        <w:snapToGrid/>
        <w:spacing w:line="600" w:lineRule="exact"/>
        <w:ind w:firstLine="640" w:firstLineChars="200"/>
        <w:textAlignment w:val="auto"/>
        <w:rPr>
          <w:rFonts w:hint="eastAsia" w:cs="仿宋_GB2312"/>
          <w:szCs w:val="32"/>
        </w:rPr>
      </w:pPr>
      <w:r>
        <w:rPr>
          <w:rFonts w:hint="eastAsia" w:cs="仿宋_GB2312"/>
          <w:szCs w:val="32"/>
        </w:rPr>
        <w:t>检验应注意的问题：</w:t>
      </w:r>
    </w:p>
    <w:p>
      <w:pPr>
        <w:keepNext w:val="0"/>
        <w:keepLines w:val="0"/>
        <w:pageBreakBefore w:val="0"/>
        <w:widowControl w:val="0"/>
        <w:kinsoku/>
        <w:wordWrap/>
        <w:overflowPunct/>
        <w:topLinePunct w:val="0"/>
        <w:bidi w:val="0"/>
        <w:snapToGrid/>
        <w:spacing w:line="600" w:lineRule="exact"/>
        <w:ind w:firstLine="640" w:firstLineChars="200"/>
        <w:textAlignment w:val="auto"/>
        <w:rPr>
          <w:rFonts w:hint="eastAsia" w:cs="仿宋_GB2312"/>
          <w:szCs w:val="32"/>
        </w:rPr>
      </w:pPr>
      <w:r>
        <w:rPr>
          <w:rFonts w:hint="eastAsia" w:eastAsia="仿宋" w:cs="仿宋"/>
          <w:szCs w:val="32"/>
        </w:rPr>
        <w:t>①</w:t>
      </w:r>
      <w:r>
        <w:rPr>
          <w:rFonts w:hint="eastAsia" w:cs="仿宋_GB2312"/>
          <w:szCs w:val="32"/>
        </w:rPr>
        <w:t>被检产品明示的质量要求高于本细则中检验项目依据的标准要求时，应按被检产品明示的质量要求判定。若被检产品明示的质量要求低于本细则中检验项目依据的国家或行业强制性标准要求时，应按国家或行业强制性标准要求判定；若被检产品明示的质量要求低于或包含本细则中检验项目依据的推荐性标准要求时，应以被检产品明示的质量要求判定；若被检产品明示的质量要求缺少本细则中的检验项目（主要是产品通用重要特征值）时，应按本细则中检验项目依据的标准要求进行检验并判定；若被检产品明示的质量要求缺少本细则中检验项目依据的推荐性标准要求时，该项目不参与判定，但应在检验报告备注中进行说明。</w:t>
      </w:r>
    </w:p>
    <w:p>
      <w:pPr>
        <w:keepNext w:val="0"/>
        <w:keepLines w:val="0"/>
        <w:pageBreakBefore w:val="0"/>
        <w:widowControl w:val="0"/>
        <w:kinsoku/>
        <w:wordWrap/>
        <w:overflowPunct/>
        <w:topLinePunct w:val="0"/>
        <w:bidi w:val="0"/>
        <w:snapToGrid/>
        <w:spacing w:line="600" w:lineRule="exact"/>
        <w:ind w:firstLine="640" w:firstLineChars="200"/>
        <w:textAlignment w:val="auto"/>
        <w:rPr>
          <w:rFonts w:hint="eastAsia" w:cs="仿宋_GB2312"/>
          <w:szCs w:val="32"/>
        </w:rPr>
      </w:pPr>
      <w:r>
        <w:rPr>
          <w:rFonts w:hint="eastAsia" w:cs="仿宋_GB2312"/>
          <w:szCs w:val="32"/>
        </w:rPr>
        <w:t>②若样品出现封样状态破坏或样品异常损坏的情况，影响检验结果，则停止对该样品的检验。</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eastAsia="黑体"/>
          <w:bCs/>
          <w:szCs w:val="32"/>
        </w:rPr>
      </w:pPr>
      <w:r>
        <w:rPr>
          <w:rFonts w:hint="eastAsia" w:eastAsia="黑体"/>
          <w:bCs/>
          <w:szCs w:val="32"/>
        </w:rPr>
        <w:t>5</w:t>
      </w:r>
      <w:r>
        <w:rPr>
          <w:rFonts w:hint="eastAsia" w:eastAsia="黑体"/>
          <w:bCs/>
          <w:szCs w:val="32"/>
          <w:lang w:eastAsia="zh-CN"/>
        </w:rPr>
        <w:t>．</w:t>
      </w:r>
      <w:r>
        <w:rPr>
          <w:rFonts w:hint="eastAsia" w:eastAsia="黑体"/>
          <w:bCs/>
          <w:szCs w:val="32"/>
        </w:rPr>
        <w:t>判定原则</w:t>
      </w:r>
    </w:p>
    <w:p>
      <w:pPr>
        <w:keepNext w:val="0"/>
        <w:keepLines w:val="0"/>
        <w:pageBreakBefore w:val="0"/>
        <w:widowControl w:val="0"/>
        <w:kinsoku/>
        <w:wordWrap/>
        <w:overflowPunct/>
        <w:topLinePunct w:val="0"/>
        <w:bidi w:val="0"/>
        <w:snapToGrid/>
        <w:spacing w:line="600" w:lineRule="exact"/>
        <w:ind w:firstLine="640" w:firstLineChars="200"/>
        <w:textAlignment w:val="auto"/>
        <w:rPr>
          <w:rFonts w:hint="eastAsia" w:cs="仿宋_GB2312"/>
          <w:szCs w:val="32"/>
        </w:rPr>
      </w:pPr>
      <w:r>
        <w:rPr>
          <w:rFonts w:hint="eastAsia" w:cs="仿宋_GB2312"/>
          <w:szCs w:val="32"/>
        </w:rPr>
        <w:t>经检验，检验项目全部合格，判定为被抽查产品合格；检验项目中任一项或一项以上不合格，判定为被抽查产品不合格。</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eastAsia="黑体"/>
          <w:bCs/>
          <w:szCs w:val="32"/>
        </w:rPr>
      </w:pPr>
      <w:r>
        <w:rPr>
          <w:rFonts w:hint="eastAsia" w:eastAsia="黑体"/>
          <w:bCs/>
          <w:szCs w:val="32"/>
        </w:rPr>
        <w:t>6</w:t>
      </w:r>
      <w:r>
        <w:rPr>
          <w:rFonts w:hint="eastAsia" w:eastAsia="黑体"/>
          <w:bCs/>
          <w:szCs w:val="32"/>
          <w:lang w:eastAsia="zh-CN"/>
        </w:rPr>
        <w:t>．</w:t>
      </w:r>
      <w:r>
        <w:rPr>
          <w:rFonts w:hint="eastAsia" w:eastAsia="黑体"/>
          <w:bCs/>
          <w:szCs w:val="32"/>
        </w:rPr>
        <w:t>异议处理复检</w:t>
      </w:r>
    </w:p>
    <w:p>
      <w:pPr>
        <w:keepNext w:val="0"/>
        <w:keepLines w:val="0"/>
        <w:pageBreakBefore w:val="0"/>
        <w:widowControl w:val="0"/>
        <w:kinsoku/>
        <w:wordWrap/>
        <w:overflowPunct/>
        <w:topLinePunct w:val="0"/>
        <w:bidi w:val="0"/>
        <w:snapToGrid/>
        <w:spacing w:line="600" w:lineRule="exact"/>
        <w:ind w:firstLine="640" w:firstLineChars="200"/>
        <w:textAlignment w:val="auto"/>
        <w:rPr>
          <w:rFonts w:hint="eastAsia"/>
          <w:color w:val="000000"/>
        </w:rPr>
      </w:pPr>
      <w:r>
        <w:rPr>
          <w:rFonts w:hint="eastAsia"/>
          <w:color w:val="000000"/>
        </w:rPr>
        <w:t>对判定不合格产品进行复检时，按以下方式进行：</w:t>
      </w:r>
    </w:p>
    <w:p>
      <w:pPr>
        <w:keepNext w:val="0"/>
        <w:keepLines w:val="0"/>
        <w:pageBreakBefore w:val="0"/>
        <w:widowControl w:val="0"/>
        <w:kinsoku/>
        <w:wordWrap/>
        <w:overflowPunct/>
        <w:topLinePunct w:val="0"/>
        <w:bidi w:val="0"/>
        <w:snapToGrid/>
        <w:spacing w:line="600" w:lineRule="exact"/>
        <w:ind w:firstLine="640" w:firstLineChars="200"/>
        <w:textAlignment w:val="auto"/>
        <w:rPr>
          <w:rFonts w:hint="eastAsia"/>
          <w:color w:val="000000"/>
        </w:rPr>
      </w:pPr>
      <w:r>
        <w:rPr>
          <w:rFonts w:hint="eastAsia"/>
          <w:color w:val="000000"/>
        </w:rPr>
        <w:t>6.1对不合格项目复检时，采用备用样复检。复检结论为最终检验结论。</w:t>
      </w:r>
    </w:p>
    <w:p>
      <w:pPr>
        <w:keepNext w:val="0"/>
        <w:keepLines w:val="0"/>
        <w:pageBreakBefore w:val="0"/>
        <w:widowControl w:val="0"/>
        <w:kinsoku/>
        <w:wordWrap/>
        <w:overflowPunct/>
        <w:topLinePunct w:val="0"/>
        <w:bidi w:val="0"/>
        <w:snapToGrid/>
        <w:spacing w:line="600" w:lineRule="exact"/>
        <w:ind w:firstLine="640" w:firstLineChars="200"/>
        <w:textAlignment w:val="auto"/>
        <w:rPr>
          <w:rFonts w:hint="eastAsia"/>
          <w:color w:val="000000"/>
        </w:rPr>
      </w:pPr>
      <w:r>
        <w:rPr>
          <w:rFonts w:hint="eastAsia"/>
          <w:color w:val="000000"/>
        </w:rPr>
        <w:t>6.2不进行复检情况：</w:t>
      </w:r>
    </w:p>
    <w:p>
      <w:pPr>
        <w:keepNext w:val="0"/>
        <w:keepLines w:val="0"/>
        <w:pageBreakBefore w:val="0"/>
        <w:widowControl w:val="0"/>
        <w:kinsoku/>
        <w:wordWrap/>
        <w:overflowPunct/>
        <w:topLinePunct w:val="0"/>
        <w:bidi w:val="0"/>
        <w:snapToGrid/>
        <w:spacing w:line="600" w:lineRule="exact"/>
        <w:ind w:firstLine="640" w:firstLineChars="200"/>
        <w:textAlignment w:val="auto"/>
        <w:rPr>
          <w:rFonts w:hint="eastAsia"/>
          <w:color w:val="000000"/>
        </w:rPr>
      </w:pPr>
      <w:r>
        <w:rPr>
          <w:rFonts w:hint="eastAsia"/>
          <w:color w:val="000000"/>
        </w:rPr>
        <w:t>①被检方提出复检时，产品在复检有效期内于正常贮存条件下已变质；</w:t>
      </w:r>
    </w:p>
    <w:p>
      <w:pPr>
        <w:keepNext w:val="0"/>
        <w:keepLines w:val="0"/>
        <w:pageBreakBefore w:val="0"/>
        <w:widowControl w:val="0"/>
        <w:kinsoku/>
        <w:wordWrap/>
        <w:overflowPunct/>
        <w:topLinePunct w:val="0"/>
        <w:bidi w:val="0"/>
        <w:snapToGrid/>
        <w:spacing w:line="600" w:lineRule="exact"/>
        <w:ind w:firstLine="640" w:firstLineChars="200"/>
        <w:textAlignment w:val="auto"/>
        <w:rPr>
          <w:rFonts w:hint="eastAsia"/>
          <w:color w:val="000000"/>
        </w:rPr>
      </w:pPr>
      <w:r>
        <w:rPr>
          <w:rFonts w:hint="eastAsia"/>
          <w:color w:val="000000"/>
        </w:rPr>
        <w:t>②法律、法规规定不得复检的其他情况。</w:t>
      </w:r>
    </w:p>
    <w:p>
      <w:pPr>
        <w:textAlignment w:val="center"/>
        <w:rPr>
          <w:rFonts w:hint="eastAsia" w:eastAsia="黑体" w:cs="黑体"/>
          <w:sz w:val="32"/>
          <w:szCs w:val="32"/>
        </w:rPr>
      </w:pPr>
    </w:p>
    <w:p>
      <w:pPr>
        <w:textAlignment w:val="center"/>
        <w:rPr>
          <w:rFonts w:hint="eastAsia" w:eastAsia="黑体" w:cs="黑体"/>
          <w:sz w:val="32"/>
          <w:szCs w:val="32"/>
        </w:rPr>
      </w:pPr>
    </w:p>
    <w:p>
      <w:pPr>
        <w:textAlignment w:val="center"/>
        <w:rPr>
          <w:rFonts w:hint="eastAsia" w:eastAsia="黑体" w:cs="黑体"/>
          <w:sz w:val="32"/>
          <w:szCs w:val="32"/>
        </w:rPr>
      </w:pPr>
    </w:p>
    <w:p>
      <w:pPr>
        <w:textAlignment w:val="center"/>
        <w:rPr>
          <w:rFonts w:hint="eastAsia" w:eastAsia="黑体" w:cs="黑体"/>
          <w:sz w:val="32"/>
          <w:szCs w:val="32"/>
        </w:rPr>
      </w:pPr>
    </w:p>
    <w:p>
      <w:pPr>
        <w:textAlignment w:val="center"/>
        <w:rPr>
          <w:rFonts w:hint="eastAsia" w:eastAsia="黑体" w:cs="黑体"/>
          <w:sz w:val="32"/>
          <w:szCs w:val="32"/>
        </w:rPr>
      </w:pPr>
    </w:p>
    <w:p>
      <w:pPr>
        <w:textAlignment w:val="center"/>
        <w:rPr>
          <w:rFonts w:hint="eastAsia" w:eastAsia="黑体" w:cs="黑体"/>
          <w:sz w:val="32"/>
          <w:szCs w:val="32"/>
        </w:rPr>
      </w:pPr>
    </w:p>
    <w:p>
      <w:pPr>
        <w:textAlignment w:val="center"/>
        <w:rPr>
          <w:rFonts w:hint="eastAsia" w:eastAsia="黑体" w:cs="黑体"/>
          <w:sz w:val="32"/>
          <w:szCs w:val="32"/>
        </w:rPr>
      </w:pPr>
    </w:p>
    <w:p>
      <w:pPr>
        <w:textAlignment w:val="center"/>
        <w:rPr>
          <w:rFonts w:hint="eastAsia" w:eastAsia="黑体" w:cs="黑体"/>
          <w:sz w:val="32"/>
          <w:szCs w:val="32"/>
        </w:rPr>
      </w:pPr>
    </w:p>
    <w:p>
      <w:pPr>
        <w:textAlignment w:val="center"/>
        <w:rPr>
          <w:rFonts w:hint="eastAsia" w:eastAsia="黑体" w:cs="黑体"/>
          <w:sz w:val="32"/>
          <w:szCs w:val="32"/>
        </w:rPr>
      </w:pPr>
    </w:p>
    <w:p>
      <w:pPr>
        <w:textAlignment w:val="center"/>
        <w:rPr>
          <w:rFonts w:hint="eastAsia" w:eastAsia="黑体" w:cs="黑体"/>
          <w:sz w:val="32"/>
          <w:szCs w:val="32"/>
        </w:rPr>
      </w:pPr>
    </w:p>
    <w:p>
      <w:pPr>
        <w:textAlignment w:val="center"/>
        <w:rPr>
          <w:rFonts w:hint="eastAsia" w:eastAsia="黑体" w:cs="黑体"/>
          <w:sz w:val="32"/>
          <w:szCs w:val="32"/>
        </w:rPr>
      </w:pPr>
    </w:p>
    <w:p>
      <w:pPr>
        <w:textAlignment w:val="center"/>
        <w:rPr>
          <w:rFonts w:hint="eastAsia" w:eastAsia="黑体" w:cs="黑体"/>
          <w:sz w:val="32"/>
          <w:szCs w:val="32"/>
        </w:rPr>
      </w:pPr>
    </w:p>
    <w:p>
      <w:pPr>
        <w:textAlignment w:val="center"/>
        <w:rPr>
          <w:rFonts w:hint="eastAsia" w:eastAsia="黑体" w:cs="黑体"/>
          <w:sz w:val="32"/>
          <w:szCs w:val="32"/>
        </w:rPr>
      </w:pPr>
    </w:p>
    <w:p>
      <w:pPr>
        <w:textAlignment w:val="center"/>
        <w:rPr>
          <w:rFonts w:hint="eastAsia" w:eastAsia="黑体" w:cs="黑体"/>
          <w:sz w:val="32"/>
          <w:szCs w:val="32"/>
        </w:rPr>
      </w:pPr>
      <w:bookmarkStart w:id="1" w:name="_GoBack"/>
      <w:bookmarkEnd w:id="1"/>
    </w:p>
    <w:p>
      <w:pPr>
        <w:textAlignment w:val="center"/>
        <w:rPr>
          <w:rFonts w:hint="eastAsia" w:eastAsia="黑体" w:cs="黑体"/>
          <w:szCs w:val="32"/>
          <w:lang w:eastAsia="zh-CN"/>
        </w:rPr>
      </w:pPr>
      <w:r>
        <w:rPr>
          <w:rFonts w:hint="eastAsia" w:eastAsia="黑体" w:cs="黑体"/>
          <w:szCs w:val="32"/>
        </w:rPr>
        <w:t>附件</w:t>
      </w:r>
      <w:r>
        <w:rPr>
          <w:rFonts w:hint="eastAsia" w:eastAsia="黑体" w:cs="黑体"/>
          <w:szCs w:val="32"/>
          <w:lang w:val="en-US" w:eastAsia="zh-CN"/>
        </w:rPr>
        <w:t>4</w:t>
      </w:r>
    </w:p>
    <w:p>
      <w:pPr>
        <w:keepNext w:val="0"/>
        <w:keepLines w:val="0"/>
        <w:pageBreakBefore w:val="0"/>
        <w:widowControl w:val="0"/>
        <w:kinsoku/>
        <w:wordWrap/>
        <w:overflowPunct/>
        <w:topLinePunct w:val="0"/>
        <w:autoSpaceDE/>
        <w:autoSpaceDN/>
        <w:bidi w:val="0"/>
        <w:adjustRightInd/>
        <w:snapToGrid/>
        <w:spacing w:line="400" w:lineRule="exact"/>
        <w:textAlignment w:val="center"/>
        <w:rPr>
          <w:rFonts w:hint="eastAsia"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2023年广东省</w:t>
      </w:r>
      <w:r>
        <w:rPr>
          <w:rFonts w:hint="eastAsia" w:ascii="方正小标宋简体" w:hAnsi="方正小标宋简体" w:eastAsia="方正小标宋简体" w:cs="方正小标宋简体"/>
          <w:sz w:val="44"/>
          <w:szCs w:val="44"/>
          <w:lang w:eastAsia="zh-CN"/>
        </w:rPr>
        <w:t>食品用竹木制品</w:t>
      </w:r>
      <w:r>
        <w:rPr>
          <w:rFonts w:hint="eastAsia" w:ascii="方正小标宋简体" w:hAnsi="方正小标宋简体" w:eastAsia="方正小标宋简体" w:cs="方正小标宋简体"/>
          <w:sz w:val="44"/>
          <w:szCs w:val="44"/>
        </w:rPr>
        <w:t>生产领域</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sz w:val="44"/>
          <w:szCs w:val="44"/>
        </w:rPr>
        <w:t>质量安全监督抽查实施细则</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textAlignment w:val="auto"/>
        <w:rPr>
          <w:rFonts w:hint="eastAsia" w:eastAsia="黑体"/>
          <w:bCs/>
          <w:szCs w:val="32"/>
        </w:rPr>
      </w:pP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rPr>
          <w:rFonts w:hint="eastAsia" w:eastAsia="黑体"/>
          <w:bCs/>
          <w:szCs w:val="32"/>
        </w:rPr>
      </w:pPr>
      <w:r>
        <w:rPr>
          <w:rFonts w:hint="eastAsia" w:eastAsia="黑体"/>
          <w:bCs/>
          <w:szCs w:val="32"/>
        </w:rPr>
        <w:t>1</w:t>
      </w:r>
      <w:r>
        <w:rPr>
          <w:rFonts w:hint="eastAsia" w:eastAsia="黑体"/>
          <w:bCs/>
          <w:szCs w:val="32"/>
          <w:lang w:eastAsia="zh-CN"/>
        </w:rPr>
        <w:t>．</w:t>
      </w:r>
      <w:r>
        <w:rPr>
          <w:rFonts w:hint="eastAsia" w:eastAsia="黑体"/>
          <w:bCs/>
          <w:szCs w:val="32"/>
        </w:rPr>
        <w:t>适用范围</w:t>
      </w:r>
    </w:p>
    <w:p>
      <w:pPr>
        <w:keepNext w:val="0"/>
        <w:keepLines w:val="0"/>
        <w:pageBreakBefore w:val="0"/>
        <w:widowControl w:val="0"/>
        <w:kinsoku/>
        <w:wordWrap/>
        <w:overflowPunct/>
        <w:topLinePunct w:val="0"/>
        <w:bidi w:val="0"/>
        <w:snapToGrid/>
        <w:spacing w:line="560" w:lineRule="exact"/>
        <w:ind w:firstLine="640" w:firstLineChars="200"/>
        <w:rPr>
          <w:rFonts w:hint="eastAsia" w:cs="仿宋_GB2312"/>
          <w:szCs w:val="32"/>
        </w:rPr>
      </w:pPr>
      <w:r>
        <w:rPr>
          <w:rFonts w:hint="eastAsia" w:cs="仿宋_GB2312"/>
          <w:szCs w:val="32"/>
        </w:rPr>
        <w:t>本细则适用于广东省生产领域食品相关产品监督抽查，监督抽查产品范围为广东省内生产领域的</w:t>
      </w:r>
      <w:r>
        <w:rPr>
          <w:rFonts w:hint="eastAsia" w:cs="仿宋_GB2312"/>
          <w:szCs w:val="32"/>
          <w:lang w:eastAsia="zh-CN"/>
        </w:rPr>
        <w:t>食品用竹木制品</w:t>
      </w:r>
      <w:r>
        <w:rPr>
          <w:rFonts w:hint="eastAsia" w:cs="仿宋_GB2312"/>
          <w:szCs w:val="32"/>
        </w:rPr>
        <w:t>。</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rPr>
          <w:rFonts w:hint="eastAsia" w:cs="宋体"/>
          <w:bCs/>
          <w:szCs w:val="32"/>
        </w:rPr>
      </w:pPr>
      <w:r>
        <w:rPr>
          <w:rFonts w:hint="eastAsia" w:eastAsia="黑体"/>
          <w:bCs/>
          <w:szCs w:val="32"/>
        </w:rPr>
        <w:t>2</w:t>
      </w:r>
      <w:r>
        <w:rPr>
          <w:rFonts w:hint="eastAsia" w:eastAsia="黑体"/>
          <w:bCs/>
          <w:szCs w:val="32"/>
          <w:lang w:eastAsia="zh-CN"/>
        </w:rPr>
        <w:t>．</w:t>
      </w:r>
      <w:r>
        <w:rPr>
          <w:rFonts w:hint="eastAsia" w:eastAsia="黑体"/>
          <w:bCs/>
          <w:szCs w:val="32"/>
        </w:rPr>
        <w:t>检验依据</w:t>
      </w:r>
    </w:p>
    <w:p>
      <w:pPr>
        <w:keepNext w:val="0"/>
        <w:keepLines w:val="0"/>
        <w:pageBreakBefore w:val="0"/>
        <w:widowControl w:val="0"/>
        <w:kinsoku/>
        <w:wordWrap/>
        <w:overflowPunct/>
        <w:topLinePunct w:val="0"/>
        <w:bidi w:val="0"/>
        <w:snapToGrid/>
        <w:spacing w:line="560" w:lineRule="exact"/>
        <w:ind w:firstLine="640" w:firstLineChars="200"/>
        <w:rPr>
          <w:rFonts w:hint="default" w:ascii="Times New Roman" w:hAnsi="Times New Roman" w:eastAsia="仿宋_GB2312" w:cs="Times New Roman"/>
          <w:szCs w:val="32"/>
        </w:rPr>
      </w:pPr>
      <w:r>
        <w:rPr>
          <w:rFonts w:hint="default" w:ascii="Times New Roman" w:hAnsi="Times New Roman" w:eastAsia="仿宋_GB2312" w:cs="Times New Roman"/>
          <w:szCs w:val="32"/>
        </w:rPr>
        <w:t>GB 4806.12-2022 《食品安全国家标准 食品接触用竹木材料及制品》</w:t>
      </w:r>
    </w:p>
    <w:p>
      <w:pPr>
        <w:keepNext w:val="0"/>
        <w:keepLines w:val="0"/>
        <w:pageBreakBefore w:val="0"/>
        <w:widowControl w:val="0"/>
        <w:kinsoku/>
        <w:wordWrap/>
        <w:overflowPunct/>
        <w:topLinePunct w:val="0"/>
        <w:bidi w:val="0"/>
        <w:snapToGrid/>
        <w:spacing w:line="560" w:lineRule="exact"/>
        <w:ind w:firstLine="640" w:firstLineChars="200"/>
        <w:rPr>
          <w:rFonts w:hint="default" w:ascii="Times New Roman" w:hAnsi="Times New Roman" w:eastAsia="仿宋_GB2312" w:cs="Times New Roman"/>
          <w:szCs w:val="32"/>
        </w:rPr>
      </w:pPr>
      <w:r>
        <w:rPr>
          <w:rFonts w:hint="default" w:ascii="Times New Roman" w:hAnsi="Times New Roman" w:eastAsia="仿宋_GB2312" w:cs="Times New Roman"/>
          <w:szCs w:val="32"/>
        </w:rPr>
        <w:t>其他现行有效的企业标准及产品明示质量要求</w:t>
      </w:r>
    </w:p>
    <w:p>
      <w:pPr>
        <w:keepNext w:val="0"/>
        <w:keepLines w:val="0"/>
        <w:pageBreakBefore w:val="0"/>
        <w:widowControl w:val="0"/>
        <w:kinsoku/>
        <w:wordWrap/>
        <w:overflowPunct/>
        <w:topLinePunct w:val="0"/>
        <w:bidi w:val="0"/>
        <w:snapToGrid/>
        <w:spacing w:line="560" w:lineRule="exact"/>
        <w:ind w:firstLine="640" w:firstLineChars="200"/>
        <w:rPr>
          <w:rFonts w:hint="default" w:ascii="Times New Roman" w:hAnsi="Times New Roman" w:eastAsia="仿宋_GB2312" w:cs="Times New Roman"/>
          <w:szCs w:val="32"/>
        </w:rPr>
      </w:pPr>
      <w:r>
        <w:rPr>
          <w:rFonts w:hint="default" w:ascii="Times New Roman" w:hAnsi="Times New Roman" w:eastAsia="仿宋_GB2312" w:cs="Times New Roman"/>
          <w:szCs w:val="32"/>
        </w:rPr>
        <w:t>相关的法律法规、部门规章和规范</w:t>
      </w:r>
    </w:p>
    <w:p>
      <w:pPr>
        <w:keepNext w:val="0"/>
        <w:keepLines w:val="0"/>
        <w:pageBreakBefore w:val="0"/>
        <w:widowControl w:val="0"/>
        <w:kinsoku/>
        <w:wordWrap/>
        <w:overflowPunct/>
        <w:topLinePunct w:val="0"/>
        <w:bidi w:val="0"/>
        <w:snapToGrid/>
        <w:spacing w:line="560" w:lineRule="exact"/>
        <w:ind w:firstLine="640" w:firstLineChars="200"/>
        <w:rPr>
          <w:rFonts w:hint="eastAsia" w:eastAsia="黑体"/>
          <w:bCs/>
          <w:szCs w:val="32"/>
        </w:rPr>
      </w:pPr>
      <w:r>
        <w:rPr>
          <w:rFonts w:hint="eastAsia" w:eastAsia="黑体"/>
          <w:bCs/>
          <w:szCs w:val="32"/>
        </w:rPr>
        <w:t>3</w:t>
      </w:r>
      <w:r>
        <w:rPr>
          <w:rFonts w:hint="eastAsia" w:eastAsia="黑体"/>
          <w:bCs/>
          <w:szCs w:val="32"/>
          <w:lang w:eastAsia="zh-CN"/>
        </w:rPr>
        <w:t>．</w:t>
      </w:r>
      <w:r>
        <w:rPr>
          <w:rFonts w:hint="eastAsia" w:eastAsia="黑体"/>
          <w:bCs/>
          <w:szCs w:val="32"/>
        </w:rPr>
        <w:t>抽样</w:t>
      </w:r>
    </w:p>
    <w:p>
      <w:pPr>
        <w:keepNext w:val="0"/>
        <w:keepLines w:val="0"/>
        <w:pageBreakBefore w:val="0"/>
        <w:widowControl w:val="0"/>
        <w:kinsoku/>
        <w:wordWrap/>
        <w:overflowPunct/>
        <w:topLinePunct w:val="0"/>
        <w:bidi w:val="0"/>
        <w:snapToGrid/>
        <w:spacing w:line="560" w:lineRule="exact"/>
        <w:ind w:firstLine="640" w:firstLineChars="200"/>
        <w:rPr>
          <w:rFonts w:hint="eastAsia" w:cs="仿宋_GB2312"/>
          <w:szCs w:val="32"/>
          <w:lang w:bidi="ar"/>
        </w:rPr>
      </w:pPr>
      <w:r>
        <w:rPr>
          <w:rFonts w:hint="eastAsia" w:cs="仿宋_GB2312"/>
          <w:szCs w:val="32"/>
        </w:rPr>
        <w:t>被抽取样品应是202</w:t>
      </w:r>
      <w:r>
        <w:rPr>
          <w:rFonts w:hint="eastAsia" w:cs="仿宋_GB2312"/>
          <w:szCs w:val="32"/>
          <w:lang w:val="en-US" w:eastAsia="zh-CN"/>
        </w:rPr>
        <w:t>2</w:t>
      </w:r>
      <w:r>
        <w:rPr>
          <w:rFonts w:hint="eastAsia" w:cs="仿宋_GB2312"/>
          <w:szCs w:val="32"/>
        </w:rPr>
        <w:t>年</w:t>
      </w:r>
      <w:r>
        <w:rPr>
          <w:rFonts w:hint="eastAsia" w:cs="仿宋_GB2312"/>
          <w:szCs w:val="32"/>
          <w:lang w:val="en-US" w:eastAsia="zh-CN"/>
        </w:rPr>
        <w:t>12</w:t>
      </w:r>
      <w:r>
        <w:rPr>
          <w:rFonts w:hint="eastAsia" w:cs="仿宋_GB2312"/>
          <w:szCs w:val="32"/>
        </w:rPr>
        <w:t>月</w:t>
      </w:r>
      <w:r>
        <w:rPr>
          <w:rFonts w:hint="eastAsia" w:cs="仿宋_GB2312"/>
          <w:szCs w:val="32"/>
          <w:lang w:val="en-US" w:eastAsia="zh-CN"/>
        </w:rPr>
        <w:t>30</w:t>
      </w:r>
      <w:r>
        <w:rPr>
          <w:rFonts w:hint="eastAsia" w:cs="仿宋_GB2312"/>
          <w:szCs w:val="32"/>
        </w:rPr>
        <w:t>日以后生产的</w:t>
      </w:r>
      <w:r>
        <w:rPr>
          <w:rFonts w:hint="eastAsia" w:cs="仿宋_GB2312"/>
          <w:szCs w:val="32"/>
          <w:lang w:eastAsia="zh-CN"/>
        </w:rPr>
        <w:t>，</w:t>
      </w:r>
      <w:r>
        <w:rPr>
          <w:rFonts w:hint="eastAsia" w:cs="仿宋_GB2312"/>
          <w:szCs w:val="32"/>
          <w:lang w:bidi="ar"/>
        </w:rPr>
        <w:t>同一型号规格、同一批次的产品。产品抽样数量可根据样品的实际大小，在满足检验的条件下作适当调整；抽取的两份样品分别单独封装，一份作为检验样品，一份作为留样，留样封存于承检机构。抽样数量见下表：</w:t>
      </w:r>
    </w:p>
    <w:tbl>
      <w:tblPr>
        <w:tblStyle w:val="3"/>
        <w:tblW w:w="9410" w:type="dxa"/>
        <w:jc w:val="center"/>
        <w:tblInd w:w="0" w:type="dxa"/>
        <w:tblLayout w:type="fixed"/>
        <w:tblCellMar>
          <w:top w:w="15" w:type="dxa"/>
          <w:left w:w="15" w:type="dxa"/>
          <w:bottom w:w="15" w:type="dxa"/>
          <w:right w:w="15" w:type="dxa"/>
        </w:tblCellMar>
      </w:tblPr>
      <w:tblGrid>
        <w:gridCol w:w="1424"/>
        <w:gridCol w:w="2872"/>
        <w:gridCol w:w="5114"/>
      </w:tblGrid>
      <w:tr>
        <w:tblPrEx>
          <w:tblLayout w:type="fixed"/>
          <w:tblCellMar>
            <w:top w:w="15" w:type="dxa"/>
            <w:left w:w="15" w:type="dxa"/>
            <w:bottom w:w="15" w:type="dxa"/>
            <w:right w:w="15" w:type="dxa"/>
          </w:tblCellMar>
        </w:tblPrEx>
        <w:trPr>
          <w:trHeight w:val="23" w:hRule="atLeast"/>
          <w:jc w:val="center"/>
        </w:trPr>
        <w:tc>
          <w:tcPr>
            <w:tcW w:w="14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sz w:val="21"/>
                <w:szCs w:val="21"/>
              </w:rPr>
            </w:pPr>
            <w:r>
              <w:rPr>
                <w:rFonts w:hint="eastAsia" w:ascii="黑体" w:hAnsi="黑体" w:eastAsia="黑体" w:cs="黑体"/>
                <w:b w:val="0"/>
                <w:bCs/>
                <w:sz w:val="21"/>
                <w:szCs w:val="21"/>
                <w:lang w:bidi="ar"/>
              </w:rPr>
              <w:t>抽查产品</w:t>
            </w:r>
          </w:p>
        </w:tc>
        <w:tc>
          <w:tcPr>
            <w:tcW w:w="287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sz w:val="21"/>
                <w:szCs w:val="21"/>
              </w:rPr>
            </w:pPr>
            <w:r>
              <w:rPr>
                <w:rFonts w:hint="eastAsia" w:ascii="黑体" w:hAnsi="黑体" w:eastAsia="黑体" w:cs="黑体"/>
                <w:b w:val="0"/>
                <w:bCs/>
                <w:sz w:val="21"/>
                <w:szCs w:val="21"/>
                <w:lang w:bidi="ar"/>
              </w:rPr>
              <w:t>相关产品</w:t>
            </w:r>
          </w:p>
        </w:tc>
        <w:tc>
          <w:tcPr>
            <w:tcW w:w="51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sz w:val="21"/>
                <w:szCs w:val="21"/>
              </w:rPr>
            </w:pPr>
            <w:r>
              <w:rPr>
                <w:rFonts w:hint="eastAsia" w:ascii="黑体" w:hAnsi="黑体" w:eastAsia="黑体" w:cs="黑体"/>
                <w:b w:val="0"/>
                <w:bCs/>
                <w:sz w:val="21"/>
                <w:szCs w:val="21"/>
                <w:lang w:bidi="ar"/>
              </w:rPr>
              <w:t>抽样数量</w:t>
            </w:r>
          </w:p>
        </w:tc>
      </w:tr>
      <w:tr>
        <w:tblPrEx>
          <w:tblLayout w:type="fixed"/>
          <w:tblCellMar>
            <w:top w:w="15" w:type="dxa"/>
            <w:left w:w="15" w:type="dxa"/>
            <w:bottom w:w="15" w:type="dxa"/>
            <w:right w:w="15" w:type="dxa"/>
          </w:tblCellMar>
        </w:tblPrEx>
        <w:trPr>
          <w:trHeight w:val="23" w:hRule="atLeast"/>
          <w:jc w:val="center"/>
        </w:trPr>
        <w:tc>
          <w:tcPr>
            <w:tcW w:w="14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食品用竹木制品（2022年12月30日后生产的竹木制品）</w:t>
            </w:r>
          </w:p>
        </w:tc>
        <w:tc>
          <w:tcPr>
            <w:tcW w:w="287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竹木筷子、木砧板等</w:t>
            </w:r>
          </w:p>
        </w:tc>
        <w:tc>
          <w:tcPr>
            <w:tcW w:w="51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420" w:firstLineChars="200"/>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筷子：不少于3包（不少于20双/包），2包作为检验样品，1包作为复检备用样品。</w:t>
            </w:r>
          </w:p>
          <w:p>
            <w:pPr>
              <w:keepNext w:val="0"/>
              <w:keepLines w:val="0"/>
              <w:pageBreakBefore w:val="0"/>
              <w:widowControl w:val="0"/>
              <w:kinsoku/>
              <w:wordWrap/>
              <w:overflowPunct/>
              <w:topLinePunct w:val="0"/>
              <w:autoSpaceDE/>
              <w:autoSpaceDN/>
              <w:bidi w:val="0"/>
              <w:adjustRightInd/>
              <w:snapToGrid/>
              <w:spacing w:line="280" w:lineRule="exact"/>
              <w:ind w:firstLine="420" w:firstLineChars="200"/>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砧板：不少于4块，3块作为检验样品，1块作为复检备用样品。</w:t>
            </w:r>
          </w:p>
          <w:p>
            <w:pPr>
              <w:keepNext w:val="0"/>
              <w:keepLines w:val="0"/>
              <w:pageBreakBefore w:val="0"/>
              <w:widowControl w:val="0"/>
              <w:kinsoku/>
              <w:wordWrap/>
              <w:overflowPunct/>
              <w:topLinePunct w:val="0"/>
              <w:autoSpaceDE/>
              <w:autoSpaceDN/>
              <w:bidi w:val="0"/>
              <w:adjustRightInd/>
              <w:snapToGrid/>
              <w:spacing w:line="280" w:lineRule="exact"/>
              <w:ind w:firstLine="420" w:firstLineChars="200"/>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铲、勺：不少于15个，12个作为检验样品，3块作为复检备用样品。</w:t>
            </w:r>
          </w:p>
        </w:tc>
      </w:tr>
    </w:tbl>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sz w:val="21"/>
          <w:szCs w:val="21"/>
          <w:lang w:bidi="ar"/>
        </w:rPr>
      </w:pPr>
      <w:r>
        <w:rPr>
          <w:rFonts w:hint="eastAsia" w:ascii="宋体" w:hAnsi="宋体" w:eastAsia="宋体" w:cs="宋体"/>
          <w:sz w:val="21"/>
          <w:szCs w:val="21"/>
          <w:lang w:bidi="ar"/>
        </w:rPr>
        <w:t>注：需提供产品的标识或符合性声明。</w:t>
      </w:r>
    </w:p>
    <w:p>
      <w:pPr>
        <w:autoSpaceDE w:val="0"/>
        <w:autoSpaceDN w:val="0"/>
        <w:adjustRightInd w:val="0"/>
        <w:spacing w:line="600" w:lineRule="exact"/>
        <w:ind w:firstLine="640" w:firstLineChars="200"/>
        <w:rPr>
          <w:rFonts w:hint="eastAsia" w:eastAsia="黑体"/>
          <w:bCs/>
          <w:szCs w:val="32"/>
        </w:rPr>
      </w:pPr>
      <w:r>
        <w:rPr>
          <w:rFonts w:hint="eastAsia" w:eastAsia="黑体"/>
          <w:bCs/>
          <w:szCs w:val="32"/>
        </w:rPr>
        <w:t>4</w:t>
      </w:r>
      <w:r>
        <w:rPr>
          <w:rFonts w:hint="eastAsia" w:eastAsia="黑体"/>
          <w:bCs/>
          <w:szCs w:val="32"/>
          <w:lang w:eastAsia="zh-CN"/>
        </w:rPr>
        <w:t>．</w:t>
      </w:r>
      <w:r>
        <w:rPr>
          <w:rFonts w:hint="eastAsia" w:eastAsia="黑体"/>
          <w:bCs/>
          <w:szCs w:val="32"/>
        </w:rPr>
        <w:t>检验项目要求</w:t>
      </w:r>
    </w:p>
    <w:tbl>
      <w:tblPr>
        <w:tblStyle w:val="3"/>
        <w:tblW w:w="9645" w:type="dxa"/>
        <w:tblInd w:w="-215" w:type="dxa"/>
        <w:tblLayout w:type="fixed"/>
        <w:tblCellMar>
          <w:top w:w="15" w:type="dxa"/>
          <w:left w:w="15" w:type="dxa"/>
          <w:bottom w:w="15" w:type="dxa"/>
          <w:right w:w="15" w:type="dxa"/>
        </w:tblCellMar>
      </w:tblPr>
      <w:tblGrid>
        <w:gridCol w:w="657"/>
        <w:gridCol w:w="2010"/>
        <w:gridCol w:w="2110"/>
        <w:gridCol w:w="1718"/>
        <w:gridCol w:w="3150"/>
      </w:tblGrid>
      <w:tr>
        <w:tblPrEx>
          <w:tblLayout w:type="fixed"/>
          <w:tblCellMar>
            <w:top w:w="15" w:type="dxa"/>
            <w:left w:w="15" w:type="dxa"/>
            <w:bottom w:w="15" w:type="dxa"/>
            <w:right w:w="15" w:type="dxa"/>
          </w:tblCellMar>
        </w:tblPrEx>
        <w:trPr>
          <w:trHeight w:val="23" w:hRule="atLeast"/>
        </w:trPr>
        <w:tc>
          <w:tcPr>
            <w:tcW w:w="6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序号</w:t>
            </w:r>
          </w:p>
        </w:tc>
        <w:tc>
          <w:tcPr>
            <w:tcW w:w="201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检验项目</w:t>
            </w:r>
          </w:p>
        </w:tc>
        <w:tc>
          <w:tcPr>
            <w:tcW w:w="211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依据法律法规或标准</w:t>
            </w:r>
          </w:p>
        </w:tc>
        <w:tc>
          <w:tcPr>
            <w:tcW w:w="17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检验方法</w:t>
            </w:r>
          </w:p>
        </w:tc>
        <w:tc>
          <w:tcPr>
            <w:tcW w:w="31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备注</w:t>
            </w:r>
          </w:p>
        </w:tc>
      </w:tr>
      <w:tr>
        <w:tblPrEx>
          <w:tblLayout w:type="fixed"/>
          <w:tblCellMar>
            <w:top w:w="15" w:type="dxa"/>
            <w:left w:w="15" w:type="dxa"/>
            <w:bottom w:w="15" w:type="dxa"/>
            <w:right w:w="15" w:type="dxa"/>
          </w:tblCellMar>
        </w:tblPrEx>
        <w:trPr>
          <w:trHeight w:val="23" w:hRule="atLeast"/>
        </w:trPr>
        <w:tc>
          <w:tcPr>
            <w:tcW w:w="657"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1</w:t>
            </w:r>
          </w:p>
        </w:tc>
        <w:tc>
          <w:tcPr>
            <w:tcW w:w="201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大肠菌群</w:t>
            </w:r>
          </w:p>
        </w:tc>
        <w:tc>
          <w:tcPr>
            <w:tcW w:w="211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4806.12-2022</w:t>
            </w:r>
          </w:p>
        </w:tc>
        <w:tc>
          <w:tcPr>
            <w:tcW w:w="1718"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14934</w:t>
            </w:r>
          </w:p>
        </w:tc>
        <w:tc>
          <w:tcPr>
            <w:tcW w:w="3150" w:type="dxa"/>
            <w:vMerge w:val="restart"/>
            <w:tcBorders>
              <w:top w:val="single" w:color="auto" w:sz="4" w:space="0"/>
              <w:left w:val="single" w:color="000000"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预期与食品直接接触，且不经过消毒或清洗直接使用的竹木材料及制品的微生物应符合GB 14934的规定，与食用、烹饪或者加工前需经去皮、去壳或清洗的食品接触的竹木材料及制品除外。</w:t>
            </w:r>
          </w:p>
        </w:tc>
      </w:tr>
      <w:tr>
        <w:tblPrEx>
          <w:tblLayout w:type="fixed"/>
          <w:tblCellMar>
            <w:top w:w="15" w:type="dxa"/>
            <w:left w:w="15" w:type="dxa"/>
            <w:bottom w:w="15" w:type="dxa"/>
            <w:right w:w="15" w:type="dxa"/>
          </w:tblCellMar>
        </w:tblPrEx>
        <w:trPr>
          <w:trHeight w:val="23" w:hRule="atLeast"/>
        </w:trPr>
        <w:tc>
          <w:tcPr>
            <w:tcW w:w="657"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2</w:t>
            </w:r>
          </w:p>
        </w:tc>
        <w:tc>
          <w:tcPr>
            <w:tcW w:w="201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沙门氏菌</w:t>
            </w:r>
          </w:p>
        </w:tc>
        <w:tc>
          <w:tcPr>
            <w:tcW w:w="211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4806.12-2022</w:t>
            </w:r>
          </w:p>
        </w:tc>
        <w:tc>
          <w:tcPr>
            <w:tcW w:w="1718"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14934</w:t>
            </w:r>
          </w:p>
        </w:tc>
        <w:tc>
          <w:tcPr>
            <w:tcW w:w="3150" w:type="dxa"/>
            <w:vMerge w:val="continue"/>
            <w:tcBorders>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rFonts w:hint="default" w:ascii="Times New Roman" w:hAnsi="Times New Roman" w:eastAsia="宋体" w:cs="Times New Roman"/>
                <w:sz w:val="21"/>
                <w:szCs w:val="21"/>
                <w:lang w:bidi="ar"/>
              </w:rPr>
            </w:pPr>
          </w:p>
        </w:tc>
      </w:tr>
      <w:tr>
        <w:tblPrEx>
          <w:tblLayout w:type="fixed"/>
          <w:tblCellMar>
            <w:top w:w="15" w:type="dxa"/>
            <w:left w:w="15" w:type="dxa"/>
            <w:bottom w:w="15" w:type="dxa"/>
            <w:right w:w="15" w:type="dxa"/>
          </w:tblCellMar>
        </w:tblPrEx>
        <w:trPr>
          <w:trHeight w:val="23" w:hRule="atLeast"/>
        </w:trPr>
        <w:tc>
          <w:tcPr>
            <w:tcW w:w="657"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3</w:t>
            </w:r>
          </w:p>
        </w:tc>
        <w:tc>
          <w:tcPr>
            <w:tcW w:w="201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总迁移量</w:t>
            </w:r>
          </w:p>
        </w:tc>
        <w:tc>
          <w:tcPr>
            <w:tcW w:w="211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4806.12-2022</w:t>
            </w:r>
          </w:p>
        </w:tc>
        <w:tc>
          <w:tcPr>
            <w:tcW w:w="1718"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31604.8</w:t>
            </w:r>
          </w:p>
        </w:tc>
        <w:tc>
          <w:tcPr>
            <w:tcW w:w="3150"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仅适用于使用了涂料、粘合剂和（或）油墨的食品接触用竹木材料及制品</w:t>
            </w:r>
          </w:p>
        </w:tc>
      </w:tr>
      <w:tr>
        <w:tblPrEx>
          <w:tblLayout w:type="fixed"/>
          <w:tblCellMar>
            <w:top w:w="15" w:type="dxa"/>
            <w:left w:w="15" w:type="dxa"/>
            <w:bottom w:w="15" w:type="dxa"/>
            <w:right w:w="15" w:type="dxa"/>
          </w:tblCellMar>
        </w:tblPrEx>
        <w:trPr>
          <w:trHeight w:val="23" w:hRule="atLeast"/>
        </w:trPr>
        <w:tc>
          <w:tcPr>
            <w:tcW w:w="657"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4</w:t>
            </w:r>
          </w:p>
        </w:tc>
        <w:tc>
          <w:tcPr>
            <w:tcW w:w="201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甲醛迁移量</w:t>
            </w:r>
          </w:p>
        </w:tc>
        <w:tc>
          <w:tcPr>
            <w:tcW w:w="211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4806.12-2022</w:t>
            </w:r>
          </w:p>
        </w:tc>
        <w:tc>
          <w:tcPr>
            <w:tcW w:w="1718"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31604.48</w:t>
            </w:r>
          </w:p>
        </w:tc>
        <w:tc>
          <w:tcPr>
            <w:tcW w:w="3150"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p>
        </w:tc>
      </w:tr>
      <w:tr>
        <w:tblPrEx>
          <w:tblLayout w:type="fixed"/>
          <w:tblCellMar>
            <w:top w:w="15" w:type="dxa"/>
            <w:left w:w="15" w:type="dxa"/>
            <w:bottom w:w="15" w:type="dxa"/>
            <w:right w:w="15" w:type="dxa"/>
          </w:tblCellMar>
        </w:tblPrEx>
        <w:trPr>
          <w:trHeight w:val="23" w:hRule="atLeast"/>
        </w:trPr>
        <w:tc>
          <w:tcPr>
            <w:tcW w:w="657"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5</w:t>
            </w:r>
          </w:p>
        </w:tc>
        <w:tc>
          <w:tcPr>
            <w:tcW w:w="201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五氯苯酚及其盐类（以五氯苯酚计）迁移量</w:t>
            </w:r>
          </w:p>
        </w:tc>
        <w:tc>
          <w:tcPr>
            <w:tcW w:w="211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4806.12-2022</w:t>
            </w:r>
          </w:p>
        </w:tc>
        <w:tc>
          <w:tcPr>
            <w:tcW w:w="1718"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SN/T 2204</w:t>
            </w:r>
          </w:p>
        </w:tc>
        <w:tc>
          <w:tcPr>
            <w:tcW w:w="3150"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p>
        </w:tc>
      </w:tr>
      <w:tr>
        <w:tblPrEx>
          <w:tblLayout w:type="fixed"/>
          <w:tblCellMar>
            <w:top w:w="15" w:type="dxa"/>
            <w:left w:w="15" w:type="dxa"/>
            <w:bottom w:w="15" w:type="dxa"/>
            <w:right w:w="15" w:type="dxa"/>
          </w:tblCellMar>
        </w:tblPrEx>
        <w:trPr>
          <w:trHeight w:val="23" w:hRule="atLeast"/>
        </w:trPr>
        <w:tc>
          <w:tcPr>
            <w:tcW w:w="657"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6</w:t>
            </w:r>
          </w:p>
        </w:tc>
        <w:tc>
          <w:tcPr>
            <w:tcW w:w="201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噻菌灵</w:t>
            </w:r>
          </w:p>
        </w:tc>
        <w:tc>
          <w:tcPr>
            <w:tcW w:w="211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4806.12-2022</w:t>
            </w:r>
          </w:p>
        </w:tc>
        <w:tc>
          <w:tcPr>
            <w:tcW w:w="1718"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4806.12</w:t>
            </w:r>
          </w:p>
        </w:tc>
        <w:tc>
          <w:tcPr>
            <w:tcW w:w="3150"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p>
        </w:tc>
      </w:tr>
      <w:tr>
        <w:tblPrEx>
          <w:tblLayout w:type="fixed"/>
          <w:tblCellMar>
            <w:top w:w="15" w:type="dxa"/>
            <w:left w:w="15" w:type="dxa"/>
            <w:bottom w:w="15" w:type="dxa"/>
            <w:right w:w="15" w:type="dxa"/>
          </w:tblCellMar>
        </w:tblPrEx>
        <w:trPr>
          <w:trHeight w:val="23" w:hRule="atLeast"/>
        </w:trPr>
        <w:tc>
          <w:tcPr>
            <w:tcW w:w="657"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7</w:t>
            </w:r>
          </w:p>
        </w:tc>
        <w:tc>
          <w:tcPr>
            <w:tcW w:w="201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邻苯基苯酚</w:t>
            </w:r>
          </w:p>
        </w:tc>
        <w:tc>
          <w:tcPr>
            <w:tcW w:w="211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4806.12-2022</w:t>
            </w:r>
          </w:p>
        </w:tc>
        <w:tc>
          <w:tcPr>
            <w:tcW w:w="1718"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4806.12</w:t>
            </w:r>
          </w:p>
        </w:tc>
        <w:tc>
          <w:tcPr>
            <w:tcW w:w="3150"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p>
        </w:tc>
      </w:tr>
      <w:tr>
        <w:tblPrEx>
          <w:tblLayout w:type="fixed"/>
          <w:tblCellMar>
            <w:top w:w="15" w:type="dxa"/>
            <w:left w:w="15" w:type="dxa"/>
            <w:bottom w:w="15" w:type="dxa"/>
            <w:right w:w="15" w:type="dxa"/>
          </w:tblCellMar>
        </w:tblPrEx>
        <w:trPr>
          <w:trHeight w:val="23" w:hRule="atLeast"/>
        </w:trPr>
        <w:tc>
          <w:tcPr>
            <w:tcW w:w="657"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8</w:t>
            </w:r>
          </w:p>
        </w:tc>
        <w:tc>
          <w:tcPr>
            <w:tcW w:w="201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联苯</w:t>
            </w:r>
          </w:p>
        </w:tc>
        <w:tc>
          <w:tcPr>
            <w:tcW w:w="211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4806.12-2022</w:t>
            </w:r>
          </w:p>
        </w:tc>
        <w:tc>
          <w:tcPr>
            <w:tcW w:w="1718"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4806.12</w:t>
            </w:r>
          </w:p>
        </w:tc>
        <w:tc>
          <w:tcPr>
            <w:tcW w:w="3150"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p>
        </w:tc>
      </w:tr>
      <w:tr>
        <w:tblPrEx>
          <w:tblLayout w:type="fixed"/>
          <w:tblCellMar>
            <w:top w:w="15" w:type="dxa"/>
            <w:left w:w="15" w:type="dxa"/>
            <w:bottom w:w="15" w:type="dxa"/>
            <w:right w:w="15" w:type="dxa"/>
          </w:tblCellMar>
        </w:tblPrEx>
        <w:trPr>
          <w:trHeight w:val="23" w:hRule="atLeast"/>
        </w:trPr>
        <w:tc>
          <w:tcPr>
            <w:tcW w:w="657"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9</w:t>
            </w:r>
          </w:p>
        </w:tc>
        <w:tc>
          <w:tcPr>
            <w:tcW w:w="201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抑霉唑</w:t>
            </w:r>
          </w:p>
        </w:tc>
        <w:tc>
          <w:tcPr>
            <w:tcW w:w="211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4806.12-2022</w:t>
            </w:r>
          </w:p>
        </w:tc>
        <w:tc>
          <w:tcPr>
            <w:tcW w:w="1718"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4806.12</w:t>
            </w:r>
          </w:p>
        </w:tc>
        <w:tc>
          <w:tcPr>
            <w:tcW w:w="3150"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p>
        </w:tc>
      </w:tr>
      <w:tr>
        <w:tblPrEx>
          <w:tblLayout w:type="fixed"/>
          <w:tblCellMar>
            <w:top w:w="15" w:type="dxa"/>
            <w:left w:w="15" w:type="dxa"/>
            <w:bottom w:w="15" w:type="dxa"/>
            <w:right w:w="15" w:type="dxa"/>
          </w:tblCellMar>
        </w:tblPrEx>
        <w:trPr>
          <w:trHeight w:val="23" w:hRule="atLeast"/>
        </w:trPr>
        <w:tc>
          <w:tcPr>
            <w:tcW w:w="657"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10</w:t>
            </w:r>
          </w:p>
        </w:tc>
        <w:tc>
          <w:tcPr>
            <w:tcW w:w="201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二氧化硫迁移量</w:t>
            </w:r>
          </w:p>
        </w:tc>
        <w:tc>
          <w:tcPr>
            <w:tcW w:w="211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4806.12-2022</w:t>
            </w:r>
          </w:p>
        </w:tc>
        <w:tc>
          <w:tcPr>
            <w:tcW w:w="1718"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4806.12</w:t>
            </w:r>
          </w:p>
        </w:tc>
        <w:tc>
          <w:tcPr>
            <w:tcW w:w="3150"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p>
        </w:tc>
      </w:tr>
      <w:tr>
        <w:tblPrEx>
          <w:tblLayout w:type="fixed"/>
          <w:tblCellMar>
            <w:top w:w="15" w:type="dxa"/>
            <w:left w:w="15" w:type="dxa"/>
            <w:bottom w:w="15" w:type="dxa"/>
            <w:right w:w="15" w:type="dxa"/>
          </w:tblCellMar>
        </w:tblPrEx>
        <w:trPr>
          <w:trHeight w:val="23" w:hRule="atLeast"/>
        </w:trPr>
        <w:tc>
          <w:tcPr>
            <w:tcW w:w="657"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11</w:t>
            </w:r>
          </w:p>
        </w:tc>
        <w:tc>
          <w:tcPr>
            <w:tcW w:w="201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感官要求</w:t>
            </w:r>
          </w:p>
        </w:tc>
        <w:tc>
          <w:tcPr>
            <w:tcW w:w="211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4806.12-2022</w:t>
            </w:r>
          </w:p>
        </w:tc>
        <w:tc>
          <w:tcPr>
            <w:tcW w:w="1718"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GB 4806.12</w:t>
            </w:r>
          </w:p>
        </w:tc>
        <w:tc>
          <w:tcPr>
            <w:tcW w:w="3150"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sz w:val="21"/>
                <w:szCs w:val="21"/>
                <w:lang w:bidi="ar"/>
              </w:rPr>
            </w:pPr>
          </w:p>
        </w:tc>
      </w:tr>
    </w:tbl>
    <w:p>
      <w:pPr>
        <w:spacing w:line="600" w:lineRule="exact"/>
        <w:ind w:firstLine="640" w:firstLineChars="200"/>
        <w:rPr>
          <w:rFonts w:hint="eastAsia" w:cs="仿宋_GB2312"/>
          <w:szCs w:val="32"/>
        </w:rPr>
      </w:pPr>
      <w:r>
        <w:rPr>
          <w:rFonts w:hint="eastAsia" w:cs="仿宋_GB2312"/>
          <w:szCs w:val="32"/>
        </w:rPr>
        <w:t>检验应注意的问题：</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hint="eastAsia" w:cs="仿宋_GB2312"/>
          <w:szCs w:val="32"/>
        </w:rPr>
      </w:pPr>
      <w:r>
        <w:rPr>
          <w:rFonts w:hint="eastAsia" w:eastAsia="仿宋" w:cs="仿宋"/>
          <w:szCs w:val="32"/>
        </w:rPr>
        <w:t>①</w:t>
      </w:r>
      <w:r>
        <w:rPr>
          <w:rFonts w:hint="eastAsia" w:cs="仿宋_GB2312"/>
          <w:szCs w:val="32"/>
        </w:rPr>
        <w:t>被检产品明示的质量要求高于本细则中检验项目依据的标准要求时，应按被检产品明示的质量要求判定。若被检产品明示的质量要求低于本细则中检验项目依据的国家或行业强制性标准要求时，应按国家或行业强制性标准要求判定；若被检产品明示的质量要求低于或包含本细则中检验项目依据的推荐性标准要求时，应以被检产品明示的质量要求判定；若被检产品明示的质量要求缺少本细则中的检验项目（主要是产品通用重要特征值）时，应按本细则中检验项目依据的标准要求进行检验并判定；若被检产品明示的质量要求缺少本细则中检验项目依据的推荐性标准要求时，该项目不参与判定，但应在检验报告备注中进行说明。</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hint="eastAsia" w:cs="仿宋_GB2312"/>
          <w:szCs w:val="32"/>
        </w:rPr>
      </w:pPr>
      <w:r>
        <w:rPr>
          <w:rFonts w:hint="eastAsia" w:cs="仿宋_GB2312"/>
          <w:szCs w:val="32"/>
        </w:rPr>
        <w:t>②若样品出现封样状态破坏或样品异常损坏的情况，影响检验结果，则停止对该样品的检验。</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hint="eastAsia" w:cs="仿宋_GB2312"/>
          <w:szCs w:val="32"/>
        </w:rPr>
      </w:pPr>
      <w:r>
        <w:rPr>
          <w:rFonts w:hint="eastAsia" w:cs="仿宋_GB2312"/>
          <w:szCs w:val="32"/>
        </w:rPr>
        <w:t>③检测微生物指标应采用未开封的样品,分装、已拆封样品不检测微生物指标。</w:t>
      </w:r>
    </w:p>
    <w:p>
      <w:pPr>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eastAsia="黑体"/>
          <w:bCs/>
          <w:szCs w:val="32"/>
        </w:rPr>
      </w:pPr>
      <w:r>
        <w:rPr>
          <w:rFonts w:hint="eastAsia" w:eastAsia="黑体"/>
          <w:bCs/>
          <w:szCs w:val="32"/>
        </w:rPr>
        <w:t>5</w:t>
      </w:r>
      <w:r>
        <w:rPr>
          <w:rFonts w:hint="eastAsia" w:eastAsia="黑体"/>
          <w:bCs/>
          <w:szCs w:val="32"/>
          <w:lang w:eastAsia="zh-CN"/>
        </w:rPr>
        <w:t>．</w:t>
      </w:r>
      <w:r>
        <w:rPr>
          <w:rFonts w:hint="eastAsia" w:eastAsia="黑体"/>
          <w:bCs/>
          <w:szCs w:val="32"/>
        </w:rPr>
        <w:t>判定原则</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hint="eastAsia" w:cs="仿宋_GB2312"/>
          <w:szCs w:val="32"/>
        </w:rPr>
      </w:pPr>
      <w:r>
        <w:rPr>
          <w:rFonts w:hint="eastAsia" w:cs="仿宋_GB2312"/>
          <w:szCs w:val="32"/>
        </w:rPr>
        <w:t>经检验，检验项目全部合格，判定为被抽查产品合格；检验项目中任一项或一项以上不合格，判定为被抽查产品不合格。</w:t>
      </w:r>
    </w:p>
    <w:p>
      <w:pPr>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eastAsia="黑体"/>
          <w:bCs/>
          <w:szCs w:val="32"/>
        </w:rPr>
      </w:pPr>
      <w:r>
        <w:rPr>
          <w:rFonts w:hint="eastAsia" w:eastAsia="黑体"/>
          <w:bCs/>
          <w:szCs w:val="32"/>
        </w:rPr>
        <w:t>6</w:t>
      </w:r>
      <w:r>
        <w:rPr>
          <w:rFonts w:hint="eastAsia" w:eastAsia="黑体"/>
          <w:bCs/>
          <w:szCs w:val="32"/>
          <w:lang w:eastAsia="zh-CN"/>
        </w:rPr>
        <w:t>．</w:t>
      </w:r>
      <w:r>
        <w:rPr>
          <w:rFonts w:hint="eastAsia" w:eastAsia="黑体"/>
          <w:bCs/>
          <w:szCs w:val="32"/>
        </w:rPr>
        <w:t>异议处理复检</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hint="default" w:ascii="Times New Roman" w:hAnsi="Times New Roman" w:eastAsia="仿宋_GB2312" w:cs="Times New Roman"/>
          <w:color w:val="000000"/>
        </w:rPr>
      </w:pPr>
      <w:r>
        <w:rPr>
          <w:rFonts w:hint="default" w:ascii="Times New Roman" w:hAnsi="Times New Roman" w:eastAsia="仿宋_GB2312" w:cs="Times New Roman"/>
          <w:color w:val="000000"/>
        </w:rPr>
        <w:t>对判定不合格产品进行复检时，按以下方式进行：</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hint="default" w:ascii="Times New Roman" w:hAnsi="Times New Roman" w:eastAsia="仿宋_GB2312" w:cs="Times New Roman"/>
          <w:color w:val="000000"/>
        </w:rPr>
      </w:pPr>
      <w:r>
        <w:rPr>
          <w:rFonts w:hint="default" w:ascii="Times New Roman" w:hAnsi="Times New Roman" w:eastAsia="仿宋_GB2312" w:cs="Times New Roman"/>
          <w:color w:val="000000"/>
        </w:rPr>
        <w:t>6.1对不合格项目复检时，采用备用样复检。复检结论为最终检验结论。</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hint="default" w:ascii="Times New Roman" w:hAnsi="Times New Roman" w:eastAsia="仿宋_GB2312" w:cs="Times New Roman"/>
          <w:color w:val="000000"/>
        </w:rPr>
      </w:pPr>
      <w:r>
        <w:rPr>
          <w:rFonts w:hint="default" w:ascii="Times New Roman" w:hAnsi="Times New Roman" w:eastAsia="仿宋_GB2312" w:cs="Times New Roman"/>
          <w:color w:val="000000"/>
        </w:rPr>
        <w:t>6.2 不进行复检情况：</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hint="default" w:ascii="Times New Roman" w:hAnsi="Times New Roman" w:eastAsia="仿宋_GB2312" w:cs="Times New Roman"/>
          <w:color w:val="000000"/>
        </w:rPr>
      </w:pPr>
      <w:r>
        <w:rPr>
          <w:rFonts w:hint="default" w:ascii="Times New Roman" w:hAnsi="Times New Roman" w:eastAsia="仿宋_GB2312" w:cs="Times New Roman"/>
          <w:color w:val="000000"/>
        </w:rPr>
        <w:t>①被检方提出复检时，产品在复检有效期内于正常贮存条件下已变质；</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hint="default" w:ascii="Times New Roman" w:hAnsi="Times New Roman" w:eastAsia="仿宋_GB2312" w:cs="Times New Roman"/>
          <w:szCs w:val="32"/>
        </w:rPr>
      </w:pPr>
      <w:r>
        <w:rPr>
          <w:rFonts w:hint="default" w:ascii="Times New Roman" w:hAnsi="Times New Roman" w:eastAsia="仿宋_GB2312" w:cs="Times New Roman"/>
          <w:szCs w:val="32"/>
        </w:rPr>
        <w:t>②依据GB 4789.1-2016《食品安全国家标准 食品微生物学检验 总则》第7.3条规</w:t>
      </w:r>
      <w:r>
        <w:rPr>
          <w:rFonts w:hint="eastAsia" w:ascii="仿宋_GB2312" w:hAnsi="仿宋_GB2312" w:eastAsia="仿宋_GB2312" w:cs="仿宋_GB2312"/>
          <w:szCs w:val="32"/>
        </w:rPr>
        <w:t>定“检验结果报告后，剩余样品和同批产品不进行微生物项目的复检”和《健康相</w:t>
      </w:r>
      <w:r>
        <w:rPr>
          <w:rFonts w:hint="default" w:ascii="Times New Roman" w:hAnsi="Times New Roman" w:eastAsia="仿宋_GB2312" w:cs="Times New Roman"/>
          <w:szCs w:val="32"/>
        </w:rPr>
        <w:t>关产品国家卫生监督抽检规定》（卫监督发〔2005〕515号）第十九条：“产品微生物指标超标的不予复检”的规定，微生物指标不合格不进行复检；</w:t>
      </w:r>
    </w:p>
    <w:p>
      <w:pPr>
        <w:spacing w:line="600" w:lineRule="exact"/>
        <w:ind w:firstLine="640" w:firstLineChars="200"/>
      </w:pPr>
      <w:r>
        <w:rPr>
          <w:rFonts w:hint="default" w:ascii="Times New Roman" w:hAnsi="Times New Roman" w:eastAsia="仿宋_GB2312" w:cs="Times New Roman"/>
          <w:szCs w:val="32"/>
        </w:rPr>
        <w:t>③</w:t>
      </w:r>
      <w:r>
        <w:rPr>
          <w:rFonts w:hint="default" w:ascii="Times New Roman" w:hAnsi="Times New Roman" w:eastAsia="仿宋_GB2312" w:cs="Times New Roman"/>
          <w:color w:val="000000"/>
        </w:rPr>
        <w:t>法律、法规规定不得复检的其他情况。</w:t>
      </w:r>
      <w:r>
        <w:rPr>
          <w:rFonts w:hint="eastAsia" w:ascii="Times New Roman" w:hAnsi="Times New Roman" w:cs="仿宋_GB2312"/>
          <w:b w:val="0"/>
          <w:i w:val="0"/>
          <w:caps w:val="0"/>
          <w:color w:val="000000"/>
          <w:spacing w:val="0"/>
          <w:kern w:val="0"/>
          <w:sz w:val="32"/>
          <w:szCs w:val="32"/>
          <w:lang w:val="en-US" w:eastAsia="zh-CN" w:bidi="ar"/>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ESI仿宋-GB2312">
    <w:altName w:val="仿宋"/>
    <w:panose1 w:val="02000500000000000000"/>
    <w:charset w:val="86"/>
    <w:family w:val="auto"/>
    <w:pitch w:val="default"/>
    <w:sig w:usb0="00000000" w:usb1="00000000" w:usb2="00000010"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8E64C9"/>
    <w:rsid w:val="3D8E64C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其他省直机关单位</Company>
  <Pages>1</Pages>
  <Words>0</Words>
  <Characters>0</Characters>
  <Lines>0</Lines>
  <Paragraphs>0</Paragraphs>
  <TotalTime>1</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2023-08-04T09:21:00Z</dcterms:created>
  <dc:creator>胡翌婧</dc:creator>
  <cp:lastModifiedBy>胡翌婧</cp:lastModifiedBy>
  <dcterms:modified xsi:type="dcterms:W3CDTF">2023-08-04T09:22:50Z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