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FF0C00"/>
          <w:spacing w:val="0"/>
          <w:kern w:val="0"/>
          <w:sz w:val="73"/>
          <w:szCs w:val="73"/>
          <w:bdr w:val="none" w:color="auto" w:sz="0" w:space="0"/>
          <w:shd w:val="clear" w:fill="FFFFFF"/>
          <w:lang w:val="en-US" w:eastAsia="zh-CN" w:bidi="ar"/>
        </w:rPr>
        <w:t>国家市场监督管理总局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FF0C00"/>
          <w:spacing w:val="0"/>
          <w:kern w:val="0"/>
          <w:sz w:val="73"/>
          <w:szCs w:val="73"/>
          <w:bdr w:val="none" w:color="auto" w:sz="0" w:space="0"/>
          <w:shd w:val="clear" w:fill="FFFFFF"/>
          <w:lang w:val="en-US" w:eastAsia="zh-CN" w:bidi="ar"/>
        </w:rPr>
        <w:t>公        告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2021</w:t>
      </w:r>
      <w:r>
        <w:rPr>
          <w:rFonts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年第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46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2"/>
          <w:szCs w:val="42"/>
          <w:bdr w:val="none" w:color="auto" w:sz="0" w:space="0"/>
          <w:shd w:val="clear" w:fill="FFFFFF"/>
          <w:lang w:val="en-US" w:eastAsia="zh-CN" w:bidi="ar"/>
        </w:rPr>
        <w:t>市场监管总局关于加强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2"/>
          <w:szCs w:val="42"/>
          <w:bdr w:val="none" w:color="auto" w:sz="0" w:space="0"/>
          <w:shd w:val="clear" w:fill="FFFFFF"/>
          <w:lang w:val="en-US" w:eastAsia="zh-CN" w:bidi="ar"/>
        </w:rPr>
        <w:t>固体饮料质量安全监管的公告</w:t>
      </w:r>
    </w:p>
    <w:bookmarkEnd w:id="0"/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  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64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为进一步加强固体饮料质量安全监管，维护消费者合法权益，保障公众身体健康，依据《中华人民共和国食品安全法》《中华人民共和国未成年人保护法》等规定，现就有关事项公告如下：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64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一、固体饮料生产企业应当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严格按照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食品安全相关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法律法规和标准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规范要求组织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生产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，具备与所生产产品相适应的生产条件和检验控制能力，严格过程控制，保证食品安全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64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二、固体饮料产品名称不得与已经批准发布的特殊食品名称相同；应当在产品标签上醒目标示反映食品真实属性的专用名称“固体饮料”，字号不得小于同一展示版面其他文字（包括商标、图案等所含文字）。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64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三、直接提供给消费者的蛋白固体饮料、植物固体饮料、特殊用途固体饮料、风味固体饮料，以及添加可食用菌种的固体饮料最小销售单元，还应在同一展示版面标示“本产品不能代替特殊医学用途配方食品、婴幼儿配方食品、保健食品等特殊食品”作为警示信息，所占面积不应小于其所在面的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20%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警示信息文字应当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使用黑体字印刷，并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与警示信息区域背景有明显色差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64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四、固体饮料标签、说明书及宣传资料不得使用文字或者图案进行明示、暗示或者强调产品适用于未成年人、老人、孕产妇、病人、存在营养风险或营养不良人群等特定人群，不得使用生产工艺、原料名称等明示、暗示涉及疾病预防、治疗功能、保健功能以及满足特定疾病人群的特殊需要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64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五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、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鼓励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行业协会等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社会组织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发挥行业引导和自律作用，规范企业生产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、销售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和宣传行为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；鼓励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学校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加强未成年人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食品安全和营养健康教育，倡导家长等消费者科学认知、理性消费。任何组织或个人若发现涉及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违反本公告等规定的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食品安全违法违规行为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或侵犯消费者利益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的，请拨打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12315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”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投诉举报。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4" w:lineRule="atLeast"/>
        <w:ind w:left="0" w:right="0" w:firstLine="64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本公告自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202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2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6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1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vertAlign w:val="baseline"/>
          <w:lang w:val="en-US" w:eastAsia="zh-CN" w:bidi="ar"/>
        </w:rPr>
        <w:t>日起实施。此前生产的产品，可在保质期内继续销售。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0ZWY1NDY5NmIzNTEwNWVkNjdkYzM0NmYzNDJmMTYifQ=="/>
  </w:docVars>
  <w:rsids>
    <w:rsidRoot w:val="1A3C1E39"/>
    <w:rsid w:val="1A3C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749</Words>
  <Characters>762</Characters>
  <Lines>0</Lines>
  <Paragraphs>0</Paragraphs>
  <TotalTime>1</TotalTime>
  <ScaleCrop>false</ScaleCrop>
  <LinksUpToDate>false</LinksUpToDate>
  <CharactersWithSpaces>773</CharactersWithSpaces>
  <Application>WPS Office_11.1.0.14305_F1E327BC-269C-435d-A152-05C5408002CA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2023-04-25T02:13:00Z</dcterms:created>
  <dc:creator>塞巴斯酱</dc:creator>
  <cp:lastModifiedBy>塞巴斯酱</cp:lastModifiedBy>
  <dcterms:modified xsi:type="dcterms:W3CDTF">2023-04-25T02:14:40Z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513E6DF39EDA458C84930546D635D38F_11</vt:lpwstr>
  </property>
</Properties>
</file>