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F81538">
      <w:pPr>
        <w:numPr>
          <w:ilvl w:val="0"/>
          <w:numId w:val="0"/>
        </w:numPr>
        <w:spacing w:line="700" w:lineRule="exact"/>
        <w:jc w:val="both"/>
        <w:rPr>
          <w:rFonts w:hint="eastAsia" w:ascii="宋体" w:hAnsi="宋体" w:eastAsia="宋体" w:cs="宋体"/>
          <w:color w:val="000000"/>
          <w:sz w:val="30"/>
          <w:szCs w:val="30"/>
          <w:lang w:val="en-US" w:eastAsia="zh-CN"/>
        </w:rPr>
      </w:pPr>
      <w:r>
        <w:rPr>
          <w:rFonts w:hint="eastAsia" w:ascii="宋体" w:hAnsi="宋体" w:eastAsia="宋体" w:cs="宋体"/>
          <w:color w:val="000000"/>
          <w:sz w:val="30"/>
          <w:szCs w:val="30"/>
          <w:lang w:val="en-US" w:eastAsia="zh-CN"/>
        </w:rPr>
        <w:t>附件1</w:t>
      </w:r>
    </w:p>
    <w:p w14:paraId="51356C15">
      <w:pPr>
        <w:numPr>
          <w:ilvl w:val="0"/>
          <w:numId w:val="0"/>
        </w:numPr>
        <w:spacing w:line="700" w:lineRule="exact"/>
        <w:jc w:val="both"/>
        <w:rPr>
          <w:rFonts w:hint="eastAsia" w:ascii="仿宋_GB2312" w:hAnsi="仿宋_GB2312" w:eastAsia="仿宋_GB2312" w:cs="仿宋_GB2312"/>
          <w:color w:val="000000"/>
          <w:sz w:val="32"/>
          <w:szCs w:val="32"/>
          <w:lang w:val="en-US" w:eastAsia="zh-CN"/>
        </w:rPr>
      </w:pPr>
    </w:p>
    <w:p w14:paraId="3F7AB0ED"/>
    <w:p w14:paraId="732EB193">
      <w:pPr>
        <w:spacing w:line="700" w:lineRule="exact"/>
        <w:jc w:val="center"/>
        <w:rPr>
          <w:rFonts w:hint="eastAsia" w:ascii="方正小标宋简体" w:hAnsi="黑体" w:eastAsia="方正小标宋简体"/>
          <w:color w:val="000000"/>
          <w:sz w:val="44"/>
          <w:szCs w:val="44"/>
        </w:rPr>
      </w:pPr>
      <w:r>
        <w:rPr>
          <w:rFonts w:hint="eastAsia" w:ascii="方正小标宋简体" w:hAnsi="黑体" w:eastAsia="方正小标宋简体"/>
          <w:color w:val="000000"/>
          <w:sz w:val="44"/>
          <w:szCs w:val="44"/>
        </w:rPr>
        <w:t>高州市教育局20</w:t>
      </w:r>
      <w:r>
        <w:rPr>
          <w:rFonts w:hint="eastAsia" w:ascii="方正小标宋简体" w:hAnsi="黑体" w:eastAsia="方正小标宋简体"/>
          <w:color w:val="000000"/>
          <w:sz w:val="44"/>
          <w:szCs w:val="44"/>
          <w:lang w:val="en-US" w:eastAsia="zh-CN"/>
        </w:rPr>
        <w:t>24</w:t>
      </w:r>
      <w:r>
        <w:rPr>
          <w:rFonts w:hint="eastAsia" w:ascii="方正小标宋简体" w:hAnsi="黑体" w:eastAsia="方正小标宋简体"/>
          <w:color w:val="000000"/>
          <w:sz w:val="44"/>
          <w:szCs w:val="44"/>
        </w:rPr>
        <w:t>年度行政许可实施和</w:t>
      </w:r>
    </w:p>
    <w:p w14:paraId="3EFC5BE5">
      <w:pPr>
        <w:spacing w:line="700" w:lineRule="exact"/>
        <w:jc w:val="center"/>
        <w:rPr>
          <w:rFonts w:hint="eastAsia" w:ascii="方正小标宋简体" w:hAnsi="黑体" w:eastAsia="方正小标宋简体"/>
          <w:color w:val="000000"/>
          <w:sz w:val="44"/>
          <w:szCs w:val="44"/>
        </w:rPr>
      </w:pPr>
      <w:r>
        <w:rPr>
          <w:rFonts w:hint="eastAsia" w:ascii="方正小标宋简体" w:hAnsi="黑体" w:eastAsia="方正小标宋简体"/>
          <w:color w:val="000000"/>
          <w:sz w:val="44"/>
          <w:szCs w:val="44"/>
        </w:rPr>
        <w:t>监督管理情况报告</w:t>
      </w:r>
    </w:p>
    <w:p w14:paraId="30E00AAB">
      <w:pPr>
        <w:adjustRightInd w:val="0"/>
        <w:snapToGrid w:val="0"/>
        <w:spacing w:line="560" w:lineRule="exact"/>
        <w:rPr>
          <w:rFonts w:hint="eastAsia" w:ascii="仿宋_GB2312" w:eastAsia="仿宋_GB2312"/>
          <w:color w:val="000000"/>
          <w:sz w:val="32"/>
          <w:szCs w:val="32"/>
        </w:rPr>
      </w:pPr>
      <w:r>
        <w:rPr>
          <w:rFonts w:hint="eastAsia" w:ascii="仿宋_GB2312" w:eastAsia="仿宋_GB2312"/>
          <w:color w:val="000000"/>
          <w:sz w:val="32"/>
          <w:szCs w:val="32"/>
        </w:rPr>
        <w:t xml:space="preserve"> </w:t>
      </w:r>
    </w:p>
    <w:p w14:paraId="62E6886A">
      <w:pPr>
        <w:adjustRightInd w:val="0"/>
        <w:snapToGrid w:val="0"/>
        <w:spacing w:line="560" w:lineRule="exact"/>
        <w:ind w:firstLine="630"/>
        <w:jc w:val="left"/>
        <w:rPr>
          <w:rFonts w:hint="eastAsia" w:ascii="仿宋_GB2312" w:eastAsia="仿宋_GB2312"/>
          <w:snapToGrid w:val="0"/>
          <w:color w:val="000000"/>
          <w:kern w:val="0"/>
          <w:sz w:val="32"/>
          <w:szCs w:val="32"/>
        </w:rPr>
      </w:pPr>
      <w:r>
        <w:rPr>
          <w:rFonts w:hint="eastAsia" w:ascii="仿宋_GB2312" w:eastAsia="仿宋_GB2312"/>
          <w:snapToGrid w:val="0"/>
          <w:color w:val="000000"/>
          <w:kern w:val="0"/>
          <w:sz w:val="32"/>
          <w:szCs w:val="32"/>
        </w:rPr>
        <w:t>根据《广东省行政许可监督管理条例》的有关规定</w:t>
      </w:r>
      <w:r>
        <w:rPr>
          <w:rFonts w:hint="eastAsia" w:ascii="仿宋_GB2312" w:eastAsia="仿宋_GB2312"/>
          <w:snapToGrid w:val="0"/>
          <w:color w:val="000000"/>
          <w:kern w:val="0"/>
          <w:sz w:val="32"/>
          <w:szCs w:val="32"/>
          <w:lang w:eastAsia="zh-CN"/>
        </w:rPr>
        <w:t>，</w:t>
      </w:r>
      <w:r>
        <w:rPr>
          <w:rFonts w:hint="eastAsia" w:ascii="仿宋_GB2312" w:eastAsia="仿宋_GB2312"/>
          <w:snapToGrid w:val="0"/>
          <w:color w:val="000000"/>
          <w:kern w:val="0"/>
          <w:sz w:val="32"/>
          <w:szCs w:val="32"/>
        </w:rPr>
        <w:t>现将我单位</w:t>
      </w:r>
      <w:r>
        <w:rPr>
          <w:rFonts w:hint="eastAsia" w:ascii="仿宋_GB2312" w:eastAsia="仿宋_GB2312"/>
          <w:snapToGrid w:val="0"/>
          <w:color w:val="000000"/>
          <w:kern w:val="0"/>
          <w:sz w:val="32"/>
          <w:szCs w:val="32"/>
          <w:lang w:val="en-US" w:eastAsia="zh-CN"/>
        </w:rPr>
        <w:t>2024</w:t>
      </w:r>
      <w:r>
        <w:rPr>
          <w:rFonts w:hint="eastAsia" w:ascii="仿宋_GB2312" w:eastAsia="仿宋_GB2312"/>
          <w:snapToGrid w:val="0"/>
          <w:color w:val="000000"/>
          <w:kern w:val="0"/>
          <w:sz w:val="32"/>
          <w:szCs w:val="32"/>
        </w:rPr>
        <w:t>年度行政许可实施和监督管理情况报告如下</w:t>
      </w:r>
      <w:r>
        <w:rPr>
          <w:rFonts w:hint="eastAsia" w:ascii="仿宋_GB2312" w:eastAsia="仿宋_GB2312"/>
          <w:snapToGrid w:val="0"/>
          <w:color w:val="000000"/>
          <w:kern w:val="0"/>
          <w:sz w:val="32"/>
          <w:szCs w:val="32"/>
          <w:lang w:eastAsia="zh-CN"/>
        </w:rPr>
        <w:t>：</w:t>
      </w:r>
    </w:p>
    <w:p w14:paraId="7F6F15D0">
      <w:pPr>
        <w:adjustRightInd w:val="0"/>
        <w:snapToGrid w:val="0"/>
        <w:spacing w:line="560" w:lineRule="exact"/>
        <w:ind w:firstLine="630"/>
        <w:jc w:val="left"/>
        <w:rPr>
          <w:rFonts w:hint="eastAsia" w:ascii="黑体" w:hAnsi="黑体" w:eastAsia="黑体"/>
          <w:snapToGrid w:val="0"/>
          <w:color w:val="000000"/>
          <w:kern w:val="0"/>
          <w:sz w:val="32"/>
          <w:szCs w:val="32"/>
        </w:rPr>
      </w:pPr>
      <w:r>
        <w:rPr>
          <w:rFonts w:hint="eastAsia" w:ascii="黑体" w:hAnsi="黑体" w:eastAsia="黑体"/>
          <w:snapToGrid w:val="0"/>
          <w:color w:val="000000"/>
          <w:kern w:val="0"/>
          <w:sz w:val="32"/>
          <w:szCs w:val="32"/>
        </w:rPr>
        <w:t>一、基本情况</w:t>
      </w:r>
    </w:p>
    <w:p w14:paraId="052BBFE2">
      <w:pPr>
        <w:adjustRightInd w:val="0"/>
        <w:snapToGrid w:val="0"/>
        <w:spacing w:line="560" w:lineRule="exact"/>
        <w:ind w:firstLine="630"/>
        <w:jc w:val="left"/>
        <w:rPr>
          <w:rFonts w:hint="eastAsia" w:ascii="仿宋_GB2312" w:eastAsia="仿宋_GB2312"/>
          <w:snapToGrid w:val="0"/>
          <w:color w:val="000000"/>
          <w:kern w:val="0"/>
          <w:sz w:val="32"/>
          <w:szCs w:val="32"/>
        </w:rPr>
      </w:pPr>
      <w:r>
        <w:rPr>
          <w:rFonts w:hint="eastAsia" w:ascii="仿宋_GB2312" w:eastAsia="仿宋_GB2312"/>
          <w:snapToGrid w:val="0"/>
          <w:color w:val="000000"/>
          <w:kern w:val="0"/>
          <w:sz w:val="32"/>
          <w:szCs w:val="32"/>
        </w:rPr>
        <w:t>20</w:t>
      </w:r>
      <w:r>
        <w:rPr>
          <w:rFonts w:hint="eastAsia" w:ascii="仿宋_GB2312" w:eastAsia="仿宋_GB2312"/>
          <w:snapToGrid w:val="0"/>
          <w:color w:val="000000"/>
          <w:kern w:val="0"/>
          <w:sz w:val="32"/>
          <w:szCs w:val="32"/>
          <w:lang w:val="en-US" w:eastAsia="zh-CN"/>
        </w:rPr>
        <w:t>24</w:t>
      </w:r>
      <w:r>
        <w:rPr>
          <w:rFonts w:hint="eastAsia" w:ascii="仿宋_GB2312" w:eastAsia="仿宋_GB2312"/>
          <w:snapToGrid w:val="0"/>
          <w:color w:val="000000"/>
          <w:kern w:val="0"/>
          <w:sz w:val="32"/>
          <w:szCs w:val="32"/>
        </w:rPr>
        <w:t>年，我单位有行政许可事项</w:t>
      </w:r>
      <w:r>
        <w:rPr>
          <w:rFonts w:hint="eastAsia" w:ascii="仿宋_GB2312" w:eastAsia="仿宋_GB2312"/>
          <w:snapToGrid w:val="0"/>
          <w:color w:val="000000"/>
          <w:kern w:val="0"/>
          <w:sz w:val="32"/>
          <w:szCs w:val="32"/>
          <w:lang w:val="en-US" w:eastAsia="zh-CN"/>
        </w:rPr>
        <w:t>35</w:t>
      </w:r>
      <w:r>
        <w:rPr>
          <w:rFonts w:hint="eastAsia" w:ascii="仿宋_GB2312" w:eastAsia="仿宋_GB2312"/>
          <w:snapToGrid w:val="0"/>
          <w:color w:val="000000"/>
          <w:kern w:val="0"/>
          <w:sz w:val="32"/>
          <w:szCs w:val="32"/>
        </w:rPr>
        <w:t>个子项</w:t>
      </w:r>
      <w:r>
        <w:rPr>
          <w:rFonts w:hint="eastAsia" w:ascii="仿宋_GB2312" w:eastAsia="仿宋_GB2312"/>
          <w:snapToGrid w:val="0"/>
          <w:color w:val="000000"/>
          <w:kern w:val="0"/>
          <w:sz w:val="32"/>
          <w:szCs w:val="32"/>
          <w:lang w:eastAsia="zh-CN"/>
        </w:rPr>
        <w:t>，</w:t>
      </w:r>
      <w:r>
        <w:rPr>
          <w:rFonts w:hint="eastAsia" w:ascii="仿宋_GB2312" w:eastAsia="仿宋_GB2312"/>
          <w:snapToGrid w:val="0"/>
          <w:color w:val="000000"/>
          <w:kern w:val="0"/>
          <w:sz w:val="32"/>
          <w:szCs w:val="32"/>
        </w:rPr>
        <w:t>所有事项全部进驻网上办事大厅。20</w:t>
      </w:r>
      <w:r>
        <w:rPr>
          <w:rFonts w:hint="eastAsia" w:ascii="仿宋_GB2312" w:eastAsia="仿宋_GB2312"/>
          <w:snapToGrid w:val="0"/>
          <w:color w:val="000000"/>
          <w:kern w:val="0"/>
          <w:sz w:val="32"/>
          <w:szCs w:val="32"/>
          <w:lang w:val="en-US" w:eastAsia="zh-CN"/>
        </w:rPr>
        <w:t>24</w:t>
      </w:r>
      <w:r>
        <w:rPr>
          <w:rFonts w:hint="eastAsia" w:ascii="仿宋_GB2312" w:eastAsia="仿宋_GB2312"/>
          <w:snapToGrid w:val="0"/>
          <w:color w:val="000000"/>
          <w:kern w:val="0"/>
          <w:sz w:val="32"/>
          <w:szCs w:val="32"/>
        </w:rPr>
        <w:t>年全年受理行政许可申请</w:t>
      </w:r>
      <w:r>
        <w:rPr>
          <w:rFonts w:hint="eastAsia" w:ascii="仿宋_GB2312" w:eastAsia="仿宋_GB2312"/>
          <w:snapToGrid w:val="0"/>
          <w:color w:val="000000"/>
          <w:kern w:val="0"/>
          <w:sz w:val="32"/>
          <w:szCs w:val="32"/>
          <w:lang w:val="en-US" w:eastAsia="zh-CN"/>
        </w:rPr>
        <w:t>1157</w:t>
      </w:r>
      <w:r>
        <w:rPr>
          <w:rFonts w:hint="eastAsia" w:ascii="仿宋_GB2312" w:eastAsia="仿宋_GB2312"/>
          <w:snapToGrid w:val="0"/>
          <w:color w:val="000000"/>
          <w:kern w:val="0"/>
          <w:sz w:val="32"/>
          <w:szCs w:val="32"/>
        </w:rPr>
        <w:t>件，其中受理</w:t>
      </w:r>
      <w:r>
        <w:rPr>
          <w:rFonts w:hint="eastAsia" w:ascii="仿宋_GB2312" w:eastAsia="仿宋_GB2312"/>
          <w:snapToGrid w:val="0"/>
          <w:color w:val="000000"/>
          <w:kern w:val="0"/>
          <w:sz w:val="32"/>
          <w:szCs w:val="32"/>
          <w:lang w:val="en-US" w:eastAsia="zh-CN"/>
        </w:rPr>
        <w:t>1157</w:t>
      </w:r>
      <w:r>
        <w:rPr>
          <w:rFonts w:hint="eastAsia" w:ascii="仿宋_GB2312" w:eastAsia="仿宋_GB2312"/>
          <w:snapToGrid w:val="0"/>
          <w:color w:val="000000"/>
          <w:kern w:val="0"/>
          <w:sz w:val="32"/>
          <w:szCs w:val="32"/>
        </w:rPr>
        <w:t>件，不受理</w:t>
      </w:r>
      <w:r>
        <w:rPr>
          <w:rFonts w:hint="eastAsia" w:ascii="仿宋_GB2312" w:eastAsia="仿宋_GB2312"/>
          <w:snapToGrid w:val="0"/>
          <w:color w:val="000000"/>
          <w:kern w:val="0"/>
          <w:sz w:val="32"/>
          <w:szCs w:val="32"/>
          <w:lang w:val="en-US" w:eastAsia="zh-CN"/>
        </w:rPr>
        <w:t>0</w:t>
      </w:r>
      <w:r>
        <w:rPr>
          <w:rFonts w:hint="eastAsia" w:ascii="仿宋_GB2312" w:eastAsia="仿宋_GB2312"/>
          <w:snapToGrid w:val="0"/>
          <w:color w:val="000000"/>
          <w:kern w:val="0"/>
          <w:sz w:val="32"/>
          <w:szCs w:val="32"/>
        </w:rPr>
        <w:t>件；20</w:t>
      </w:r>
      <w:r>
        <w:rPr>
          <w:rFonts w:hint="eastAsia" w:ascii="仿宋_GB2312" w:eastAsia="仿宋_GB2312"/>
          <w:snapToGrid w:val="0"/>
          <w:color w:val="000000"/>
          <w:kern w:val="0"/>
          <w:sz w:val="32"/>
          <w:szCs w:val="32"/>
          <w:lang w:val="en-US" w:eastAsia="zh-CN"/>
        </w:rPr>
        <w:t>24</w:t>
      </w:r>
      <w:r>
        <w:rPr>
          <w:rFonts w:hint="eastAsia" w:ascii="仿宋_GB2312" w:eastAsia="仿宋_GB2312"/>
          <w:snapToGrid w:val="0"/>
          <w:color w:val="000000"/>
          <w:kern w:val="0"/>
          <w:sz w:val="32"/>
          <w:szCs w:val="32"/>
        </w:rPr>
        <w:t>年，本单位行政许可办结量</w:t>
      </w:r>
      <w:r>
        <w:rPr>
          <w:rFonts w:hint="eastAsia" w:ascii="仿宋_GB2312" w:eastAsia="仿宋_GB2312"/>
          <w:snapToGrid w:val="0"/>
          <w:color w:val="000000"/>
          <w:kern w:val="0"/>
          <w:sz w:val="32"/>
          <w:szCs w:val="32"/>
          <w:lang w:val="en-US" w:eastAsia="zh-CN"/>
        </w:rPr>
        <w:t>1157</w:t>
      </w:r>
      <w:r>
        <w:rPr>
          <w:rFonts w:hint="eastAsia" w:ascii="仿宋_GB2312" w:eastAsia="仿宋_GB2312"/>
          <w:snapToGrid w:val="0"/>
          <w:color w:val="000000"/>
          <w:kern w:val="0"/>
          <w:sz w:val="32"/>
          <w:szCs w:val="32"/>
        </w:rPr>
        <w:t>件，其中审批同意</w:t>
      </w:r>
      <w:r>
        <w:rPr>
          <w:rFonts w:hint="eastAsia" w:ascii="仿宋_GB2312" w:eastAsia="仿宋_GB2312"/>
          <w:snapToGrid w:val="0"/>
          <w:color w:val="000000"/>
          <w:kern w:val="0"/>
          <w:sz w:val="32"/>
          <w:szCs w:val="32"/>
          <w:lang w:val="en-US" w:eastAsia="zh-CN"/>
        </w:rPr>
        <w:t>1157</w:t>
      </w:r>
      <w:r>
        <w:rPr>
          <w:rFonts w:hint="eastAsia" w:ascii="仿宋_GB2312" w:eastAsia="仿宋_GB2312"/>
          <w:snapToGrid w:val="0"/>
          <w:color w:val="000000"/>
          <w:kern w:val="0"/>
          <w:sz w:val="32"/>
          <w:szCs w:val="32"/>
        </w:rPr>
        <w:t>件，审批不同意</w:t>
      </w:r>
      <w:r>
        <w:rPr>
          <w:rFonts w:hint="eastAsia" w:ascii="仿宋_GB2312" w:eastAsia="仿宋_GB2312"/>
          <w:snapToGrid w:val="0"/>
          <w:color w:val="000000"/>
          <w:kern w:val="0"/>
          <w:sz w:val="32"/>
          <w:szCs w:val="32"/>
          <w:lang w:val="en-US" w:eastAsia="zh-CN"/>
        </w:rPr>
        <w:t>0</w:t>
      </w:r>
      <w:r>
        <w:rPr>
          <w:rFonts w:hint="eastAsia" w:ascii="仿宋_GB2312" w:eastAsia="仿宋_GB2312"/>
          <w:snapToGrid w:val="0"/>
          <w:color w:val="000000"/>
          <w:kern w:val="0"/>
          <w:sz w:val="32"/>
          <w:szCs w:val="32"/>
        </w:rPr>
        <w:t>件。</w:t>
      </w:r>
    </w:p>
    <w:p w14:paraId="403DE879">
      <w:pPr>
        <w:adjustRightInd w:val="0"/>
        <w:snapToGrid w:val="0"/>
        <w:spacing w:line="560" w:lineRule="exact"/>
        <w:jc w:val="left"/>
        <w:rPr>
          <w:rFonts w:hint="eastAsia" w:ascii="楷体" w:hAnsi="楷体" w:eastAsia="楷体"/>
          <w:snapToGrid w:val="0"/>
          <w:color w:val="000000"/>
          <w:kern w:val="0"/>
          <w:sz w:val="32"/>
          <w:szCs w:val="32"/>
        </w:rPr>
      </w:pPr>
      <w:r>
        <w:rPr>
          <w:rFonts w:hint="eastAsia" w:ascii="仿宋_GB2312" w:eastAsia="仿宋_GB2312"/>
          <w:snapToGrid w:val="0"/>
          <w:color w:val="000000"/>
          <w:kern w:val="0"/>
          <w:sz w:val="32"/>
          <w:szCs w:val="32"/>
        </w:rPr>
        <w:t xml:space="preserve">    </w:t>
      </w:r>
      <w:r>
        <w:rPr>
          <w:rFonts w:hint="eastAsia" w:ascii="楷体" w:hAnsi="楷体" w:eastAsia="楷体"/>
          <w:snapToGrid w:val="0"/>
          <w:color w:val="000000"/>
          <w:kern w:val="0"/>
          <w:sz w:val="32"/>
          <w:szCs w:val="32"/>
        </w:rPr>
        <w:t>（一）依法实施情况</w:t>
      </w:r>
    </w:p>
    <w:p w14:paraId="261FFEC3">
      <w:pPr>
        <w:adjustRightInd w:val="0"/>
        <w:snapToGrid w:val="0"/>
        <w:spacing w:line="560" w:lineRule="exact"/>
        <w:ind w:firstLine="630"/>
        <w:jc w:val="left"/>
        <w:rPr>
          <w:rFonts w:hint="eastAsia" w:ascii="仿宋_GB2312" w:eastAsia="仿宋_GB2312"/>
          <w:snapToGrid w:val="0"/>
          <w:color w:val="000000"/>
          <w:kern w:val="0"/>
          <w:sz w:val="32"/>
          <w:szCs w:val="32"/>
        </w:rPr>
      </w:pPr>
      <w:r>
        <w:rPr>
          <w:rFonts w:hint="eastAsia" w:ascii="仿宋_GB2312" w:eastAsia="仿宋_GB2312"/>
          <w:snapToGrid w:val="0"/>
          <w:color w:val="000000"/>
          <w:kern w:val="0"/>
          <w:sz w:val="32"/>
          <w:szCs w:val="32"/>
        </w:rPr>
        <w:t>我局始终严格按照有关法律法规规定的审批权限、范围、程序和条件开展行政审批工作。全年未发生越权审批、违法审批、变相设定和实施行政许可等情况，审批窗口服务实现了零投诉。为进一步优化审批流程和简化审批程序，我局对行政许可配套规范性文件进行了全面清理、修改和完善，确保每一项审批都符合法律法规要求。同时，我局还不断优化审批流程，提速审批时限，在严格遵照法定办结期限、切实履行承诺办结期限的基础上，进一步缩短了实际办结时间，提高了审批效率。</w:t>
      </w:r>
    </w:p>
    <w:p w14:paraId="74797591">
      <w:pPr>
        <w:widowControl/>
        <w:adjustRightInd w:val="0"/>
        <w:snapToGrid w:val="0"/>
        <w:spacing w:line="560" w:lineRule="exact"/>
        <w:ind w:firstLine="640" w:firstLineChars="200"/>
        <w:jc w:val="left"/>
        <w:rPr>
          <w:rFonts w:hint="eastAsia" w:ascii="仿宋_GB2312" w:eastAsia="仿宋_GB2312" w:cs="宋体"/>
          <w:kern w:val="0"/>
          <w:sz w:val="32"/>
          <w:szCs w:val="32"/>
        </w:rPr>
      </w:pPr>
      <w:r>
        <w:rPr>
          <w:rFonts w:hint="eastAsia" w:ascii="楷体" w:hAnsi="楷体" w:eastAsia="楷体"/>
          <w:snapToGrid w:val="0"/>
          <w:color w:val="000000"/>
          <w:kern w:val="0"/>
          <w:sz w:val="32"/>
          <w:szCs w:val="32"/>
        </w:rPr>
        <w:t>（二）公开公示情况</w:t>
      </w:r>
    </w:p>
    <w:p w14:paraId="5CD62AE3">
      <w:pPr>
        <w:adjustRightInd w:val="0"/>
        <w:snapToGrid w:val="0"/>
        <w:spacing w:line="560" w:lineRule="exact"/>
        <w:ind w:firstLine="640" w:firstLineChars="200"/>
        <w:jc w:val="left"/>
        <w:rPr>
          <w:rFonts w:hint="eastAsia" w:ascii="仿宋_GB2312" w:eastAsia="仿宋_GB2312"/>
          <w:snapToGrid w:val="0"/>
          <w:color w:val="000000"/>
          <w:kern w:val="0"/>
          <w:sz w:val="32"/>
          <w:szCs w:val="32"/>
        </w:rPr>
      </w:pPr>
      <w:r>
        <w:rPr>
          <w:rFonts w:hint="eastAsia" w:ascii="仿宋_GB2312" w:eastAsia="仿宋_GB2312"/>
          <w:snapToGrid w:val="0"/>
          <w:color w:val="000000"/>
          <w:kern w:val="0"/>
          <w:sz w:val="32"/>
          <w:szCs w:val="32"/>
        </w:rPr>
        <w:t>我局严格按照《</w:t>
      </w:r>
      <w:r>
        <w:rPr>
          <w:rFonts w:hint="eastAsia" w:ascii="仿宋_GB2312" w:eastAsia="仿宋_GB2312"/>
          <w:snapToGrid w:val="0"/>
          <w:color w:val="000000"/>
          <w:kern w:val="0"/>
          <w:sz w:val="32"/>
          <w:szCs w:val="32"/>
          <w:lang w:eastAsia="zh-CN"/>
        </w:rPr>
        <w:t>中华人民共和国行政许可法</w:t>
      </w:r>
      <w:r>
        <w:rPr>
          <w:rFonts w:hint="eastAsia" w:ascii="仿宋_GB2312" w:eastAsia="仿宋_GB2312"/>
          <w:snapToGrid w:val="0"/>
          <w:color w:val="000000"/>
          <w:kern w:val="0"/>
          <w:sz w:val="32"/>
          <w:szCs w:val="32"/>
        </w:rPr>
        <w:t>》和《广东省行政许可监督管理条例》的要求，在广东政务服务网上公布了所有行政审批事项，并及时更新了各事项的实施主体、办事指南、格式范本、审批流程、办理条件、时限等信息。同时，在办事窗口、政府门户网站等渠道也主动公开了相关法律法规、投诉方式及审批结果等信息，确保了行政许可工作的公开、公平、公正。申请人可通过广东政务服务网全面了解所申办事项的要求，查询申办事项的办理情况，有效保障了申请人的知情权和监督权。</w:t>
      </w:r>
    </w:p>
    <w:p w14:paraId="4FD6E30E">
      <w:pPr>
        <w:adjustRightInd w:val="0"/>
        <w:snapToGrid w:val="0"/>
        <w:spacing w:line="560" w:lineRule="exact"/>
        <w:ind w:firstLine="640" w:firstLineChars="200"/>
        <w:jc w:val="left"/>
        <w:rPr>
          <w:rFonts w:hint="eastAsia" w:ascii="楷体" w:hAnsi="楷体" w:eastAsia="楷体"/>
          <w:snapToGrid w:val="0"/>
          <w:color w:val="000000"/>
          <w:kern w:val="0"/>
          <w:sz w:val="32"/>
          <w:szCs w:val="32"/>
        </w:rPr>
      </w:pPr>
      <w:r>
        <w:rPr>
          <w:rFonts w:hint="eastAsia" w:ascii="楷体" w:hAnsi="楷体" w:eastAsia="楷体"/>
          <w:snapToGrid w:val="0"/>
          <w:color w:val="000000"/>
          <w:kern w:val="0"/>
          <w:sz w:val="32"/>
          <w:szCs w:val="32"/>
        </w:rPr>
        <w:t>（三）创新方式情况</w:t>
      </w:r>
    </w:p>
    <w:p w14:paraId="508B5C13">
      <w:pPr>
        <w:adjustRightInd w:val="0"/>
        <w:snapToGrid w:val="0"/>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一年来，在行政审批涉及我局的事项基本达到预期效果，审批效率高。</w:t>
      </w:r>
      <w:r>
        <w:rPr>
          <w:rFonts w:hint="eastAsia" w:ascii="仿宋_GB2312" w:eastAsia="仿宋_GB2312"/>
          <w:snapToGrid w:val="0"/>
          <w:color w:val="000000"/>
          <w:kern w:val="0"/>
          <w:sz w:val="32"/>
          <w:szCs w:val="32"/>
        </w:rPr>
        <w:t>申请人可直接通过广东</w:t>
      </w:r>
      <w:r>
        <w:rPr>
          <w:rFonts w:hint="eastAsia" w:ascii="仿宋_GB2312" w:eastAsia="仿宋_GB2312"/>
          <w:snapToGrid w:val="0"/>
          <w:color w:val="000000"/>
          <w:kern w:val="0"/>
          <w:sz w:val="32"/>
          <w:szCs w:val="32"/>
          <w:lang w:val="en-US" w:eastAsia="zh-CN"/>
        </w:rPr>
        <w:t>政务服务网</w:t>
      </w:r>
      <w:r>
        <w:rPr>
          <w:rFonts w:hint="eastAsia" w:ascii="仿宋_GB2312" w:eastAsia="仿宋_GB2312"/>
          <w:snapToGrid w:val="0"/>
          <w:color w:val="000000"/>
          <w:kern w:val="0"/>
          <w:sz w:val="32"/>
          <w:szCs w:val="32"/>
        </w:rPr>
        <w:t>递交材料，精简优化了审批流程，实</w:t>
      </w:r>
      <w:r>
        <w:rPr>
          <w:rFonts w:hint="eastAsia" w:ascii="仿宋_GB2312" w:eastAsia="仿宋_GB2312"/>
          <w:snapToGrid w:val="0"/>
          <w:color w:val="000000"/>
          <w:kern w:val="0"/>
          <w:sz w:val="32"/>
          <w:szCs w:val="32"/>
          <w:lang w:eastAsia="zh-CN"/>
        </w:rPr>
        <w:t>现</w:t>
      </w:r>
      <w:r>
        <w:rPr>
          <w:rFonts w:hint="eastAsia" w:ascii="仿宋_GB2312" w:eastAsia="仿宋_GB2312"/>
          <w:snapToGrid w:val="0"/>
          <w:color w:val="000000"/>
          <w:kern w:val="0"/>
          <w:sz w:val="32"/>
          <w:szCs w:val="32"/>
        </w:rPr>
        <w:t>了跨层级事项扁平化办理、跨部门事项并联化办理；有效做到许可实施过程中的部门间信息共享和相互协同，减少缩短了审批办结时间。同时，我局</w:t>
      </w:r>
      <w:r>
        <w:rPr>
          <w:rFonts w:hint="eastAsia" w:ascii="仿宋_GB2312" w:hAnsi="Arial" w:eastAsia="仿宋_GB2312" w:cs="Arial"/>
          <w:color w:val="000000"/>
          <w:sz w:val="32"/>
          <w:szCs w:val="32"/>
        </w:rPr>
        <w:t>聘请了法律顾问，出台</w:t>
      </w:r>
      <w:r>
        <w:rPr>
          <w:rFonts w:hint="eastAsia" w:ascii="仿宋_GB2312" w:hAnsi="Arial" w:eastAsia="仿宋_GB2312" w:cs="Arial"/>
          <w:color w:val="000000"/>
          <w:sz w:val="32"/>
          <w:szCs w:val="32"/>
          <w:lang w:eastAsia="zh-CN"/>
        </w:rPr>
        <w:t>各类</w:t>
      </w:r>
      <w:r>
        <w:rPr>
          <w:rFonts w:hint="eastAsia" w:ascii="仿宋_GB2312" w:hAnsi="Arial" w:eastAsia="仿宋_GB2312" w:cs="Arial"/>
          <w:color w:val="000000"/>
          <w:sz w:val="32"/>
          <w:szCs w:val="32"/>
        </w:rPr>
        <w:t>行政许可规范性文件或实施行政处罚、签订经济合同等事项前，须先咨询法律顾问。</w:t>
      </w:r>
      <w:r>
        <w:rPr>
          <w:rFonts w:hint="eastAsia" w:ascii="仿宋_GB2312" w:eastAsia="仿宋_GB2312"/>
          <w:snapToGrid w:val="0"/>
          <w:color w:val="000000"/>
          <w:kern w:val="0"/>
          <w:sz w:val="32"/>
          <w:szCs w:val="32"/>
          <w:lang w:eastAsia="zh-CN"/>
        </w:rPr>
        <w:t>202</w:t>
      </w:r>
      <w:r>
        <w:rPr>
          <w:rFonts w:hint="eastAsia" w:ascii="仿宋_GB2312" w:eastAsia="仿宋_GB2312"/>
          <w:snapToGrid w:val="0"/>
          <w:color w:val="000000"/>
          <w:kern w:val="0"/>
          <w:sz w:val="32"/>
          <w:szCs w:val="32"/>
          <w:lang w:val="en-US" w:eastAsia="zh-CN"/>
        </w:rPr>
        <w:t>4</w:t>
      </w:r>
      <w:r>
        <w:rPr>
          <w:rFonts w:hint="eastAsia" w:ascii="仿宋_GB2312" w:eastAsia="仿宋_GB2312"/>
          <w:snapToGrid w:val="0"/>
          <w:color w:val="000000"/>
          <w:kern w:val="0"/>
          <w:sz w:val="32"/>
          <w:szCs w:val="32"/>
        </w:rPr>
        <w:t>年我局所有事项均能在承诺时限内完成，实现了依法、依规、便民和高效，</w:t>
      </w:r>
      <w:r>
        <w:rPr>
          <w:rFonts w:hint="eastAsia" w:ascii="仿宋_GB2312" w:eastAsia="仿宋_GB2312"/>
          <w:sz w:val="32"/>
          <w:szCs w:val="32"/>
        </w:rPr>
        <w:t>获得了申请人的认可和满意。</w:t>
      </w:r>
    </w:p>
    <w:p w14:paraId="3FF6514C">
      <w:pPr>
        <w:adjustRightInd w:val="0"/>
        <w:snapToGrid w:val="0"/>
        <w:spacing w:line="560" w:lineRule="exact"/>
        <w:ind w:firstLine="640" w:firstLineChars="200"/>
        <w:jc w:val="left"/>
        <w:rPr>
          <w:rFonts w:hint="eastAsia" w:ascii="仿宋_GB2312" w:hAnsi="楷体" w:eastAsia="仿宋_GB2312"/>
          <w:snapToGrid w:val="0"/>
          <w:color w:val="000000"/>
          <w:kern w:val="0"/>
          <w:sz w:val="32"/>
          <w:szCs w:val="32"/>
        </w:rPr>
      </w:pPr>
      <w:r>
        <w:rPr>
          <w:rFonts w:hint="eastAsia" w:ascii="楷体" w:hAnsi="楷体" w:eastAsia="楷体"/>
          <w:snapToGrid w:val="0"/>
          <w:color w:val="000000"/>
          <w:kern w:val="0"/>
          <w:sz w:val="32"/>
          <w:szCs w:val="32"/>
        </w:rPr>
        <w:t>（四）监督管理情况</w:t>
      </w:r>
    </w:p>
    <w:p w14:paraId="62DAA10D">
      <w:pPr>
        <w:adjustRightInd w:val="0"/>
        <w:snapToGrid w:val="0"/>
        <w:spacing w:line="560" w:lineRule="exact"/>
        <w:ind w:firstLine="640" w:firstLineChars="200"/>
        <w:jc w:val="left"/>
        <w:rPr>
          <w:rFonts w:hint="eastAsia" w:ascii="仿宋_GB2312" w:eastAsia="仿宋_GB2312"/>
          <w:snapToGrid w:val="0"/>
          <w:color w:val="000000"/>
          <w:kern w:val="0"/>
          <w:sz w:val="32"/>
          <w:szCs w:val="32"/>
        </w:rPr>
      </w:pPr>
      <w:r>
        <w:rPr>
          <w:rFonts w:hint="eastAsia" w:ascii="仿宋_GB2312" w:eastAsia="仿宋_GB2312"/>
          <w:snapToGrid w:val="0"/>
          <w:color w:val="000000"/>
          <w:kern w:val="0"/>
          <w:sz w:val="32"/>
          <w:szCs w:val="32"/>
        </w:rPr>
        <w:t>2024年度，我单位严格执行国务院、省、市、</w:t>
      </w:r>
      <w:r>
        <w:rPr>
          <w:rFonts w:hint="eastAsia" w:ascii="仿宋_GB2312" w:eastAsia="仿宋_GB2312"/>
          <w:snapToGrid w:val="0"/>
          <w:color w:val="000000"/>
          <w:kern w:val="0"/>
          <w:sz w:val="32"/>
          <w:szCs w:val="32"/>
          <w:lang w:val="en-US" w:eastAsia="zh-CN"/>
        </w:rPr>
        <w:t>县</w:t>
      </w:r>
      <w:r>
        <w:rPr>
          <w:rFonts w:hint="eastAsia" w:ascii="仿宋_GB2312" w:eastAsia="仿宋_GB2312"/>
          <w:snapToGrid w:val="0"/>
          <w:color w:val="000000"/>
          <w:kern w:val="0"/>
          <w:sz w:val="32"/>
          <w:szCs w:val="32"/>
        </w:rPr>
        <w:t>关于深化“放管服”改革、优化营商环境、推进审批便民服务的工作部署，认真落实便民服务的各项措施和依法行政审批的情况进行自查。在局公告栏、政务服务大厅等地方公开了投诉举报电话，通过电话、网络以及有关信访渠道受理行政审批的咨询和投诉，自觉接受群众举报投诉。同时，我局还加强对“三集中一公开</w:t>
      </w:r>
      <w:r>
        <w:rPr>
          <w:rFonts w:hint="eastAsia" w:ascii="仿宋_GB2312" w:eastAsia="仿宋_GB2312"/>
          <w:snapToGrid w:val="0"/>
          <w:color w:val="000000"/>
          <w:kern w:val="0"/>
          <w:sz w:val="32"/>
          <w:szCs w:val="32"/>
          <w:lang w:eastAsia="zh-CN"/>
        </w:rPr>
        <w:t>”“</w:t>
      </w:r>
      <w:r>
        <w:rPr>
          <w:rFonts w:hint="eastAsia" w:ascii="仿宋_GB2312" w:eastAsia="仿宋_GB2312"/>
          <w:snapToGrid w:val="0"/>
          <w:color w:val="000000"/>
          <w:kern w:val="0"/>
          <w:sz w:val="32"/>
          <w:szCs w:val="32"/>
        </w:rPr>
        <w:t>最多跑一次”甚至“零跑动</w:t>
      </w:r>
      <w:r>
        <w:rPr>
          <w:rFonts w:hint="eastAsia" w:ascii="仿宋_GB2312" w:eastAsia="仿宋_GB2312"/>
          <w:snapToGrid w:val="0"/>
          <w:color w:val="000000"/>
          <w:kern w:val="0"/>
          <w:sz w:val="32"/>
          <w:szCs w:val="32"/>
          <w:lang w:eastAsia="zh-CN"/>
        </w:rPr>
        <w:t>”“</w:t>
      </w:r>
      <w:r>
        <w:rPr>
          <w:rFonts w:hint="eastAsia" w:ascii="仿宋_GB2312" w:eastAsia="仿宋_GB2312"/>
          <w:snapToGrid w:val="0"/>
          <w:color w:val="000000"/>
          <w:kern w:val="0"/>
          <w:sz w:val="32"/>
          <w:szCs w:val="32"/>
        </w:rPr>
        <w:t>一窗通办”等便民措施的执行力度和承诺兑现情况的监督检查，确保了各项便民措施落到实处。一年来，我局未发现有任何行政审批违规行为和未接到任何群众举报行政审批问题的投诉情况。</w:t>
      </w:r>
    </w:p>
    <w:p w14:paraId="0D33EAED">
      <w:pPr>
        <w:adjustRightInd w:val="0"/>
        <w:snapToGrid w:val="0"/>
        <w:spacing w:line="560" w:lineRule="exact"/>
        <w:ind w:firstLine="640" w:firstLineChars="200"/>
        <w:jc w:val="left"/>
        <w:rPr>
          <w:rFonts w:hint="eastAsia" w:ascii="楷体" w:hAnsi="楷体" w:eastAsia="楷体"/>
          <w:snapToGrid w:val="0"/>
          <w:color w:val="000000"/>
          <w:kern w:val="0"/>
          <w:sz w:val="32"/>
          <w:szCs w:val="32"/>
        </w:rPr>
      </w:pPr>
      <w:r>
        <w:rPr>
          <w:rFonts w:hint="eastAsia" w:ascii="楷体" w:hAnsi="楷体" w:eastAsia="楷体"/>
          <w:snapToGrid w:val="0"/>
          <w:color w:val="000000"/>
          <w:kern w:val="0"/>
          <w:sz w:val="32"/>
          <w:szCs w:val="32"/>
        </w:rPr>
        <w:t>（五）实施效果情况</w:t>
      </w:r>
    </w:p>
    <w:p w14:paraId="1613AE27">
      <w:pPr>
        <w:adjustRightInd w:val="0"/>
        <w:snapToGrid w:val="0"/>
        <w:spacing w:line="560" w:lineRule="exact"/>
        <w:ind w:firstLine="640" w:firstLineChars="200"/>
        <w:jc w:val="left"/>
        <w:rPr>
          <w:rFonts w:hint="eastAsia" w:ascii="仿宋_GB2312" w:eastAsia="仿宋_GB2312"/>
          <w:snapToGrid w:val="0"/>
          <w:color w:val="000000"/>
          <w:kern w:val="0"/>
          <w:sz w:val="32"/>
          <w:szCs w:val="32"/>
        </w:rPr>
      </w:pPr>
      <w:r>
        <w:rPr>
          <w:rFonts w:hint="eastAsia" w:ascii="仿宋_GB2312" w:eastAsia="仿宋_GB2312"/>
          <w:snapToGrid w:val="0"/>
          <w:color w:val="000000"/>
          <w:kern w:val="0"/>
          <w:sz w:val="32"/>
          <w:szCs w:val="32"/>
        </w:rPr>
        <w:t>通过一年的努力，我局在办理行政审批事项过程中取得了显著成效。我们依法依规审批，全面梳理行政服务事项、制订明确的办事指南、规范和优化审批流程。通过</w:t>
      </w:r>
      <w:r>
        <w:rPr>
          <w:rFonts w:hint="eastAsia" w:ascii="仿宋_GB2312" w:eastAsia="仿宋_GB2312"/>
          <w:snapToGrid w:val="0"/>
          <w:color w:val="000000"/>
          <w:kern w:val="0"/>
          <w:sz w:val="32"/>
          <w:szCs w:val="32"/>
          <w:lang w:eastAsia="zh-CN"/>
        </w:rPr>
        <w:t>减少</w:t>
      </w:r>
      <w:r>
        <w:rPr>
          <w:rFonts w:hint="eastAsia" w:ascii="仿宋_GB2312" w:eastAsia="仿宋_GB2312"/>
          <w:snapToGrid w:val="0"/>
          <w:color w:val="000000"/>
          <w:kern w:val="0"/>
          <w:sz w:val="32"/>
          <w:szCs w:val="32"/>
        </w:rPr>
        <w:t>时间压缩申请材料、综合窗口一窗受理、实现最多跑一次等措施，使审批程序逐步规范、行政效率明显提高。同时，我们还不断提升行政审批业务窗口的服务水平，在优化营商环境推动经济发展、提高社会效益等方面取得了明显成效。本单位行政许可事项按时办结率均达到100%，得到了广大群众的满意和好评。</w:t>
      </w:r>
    </w:p>
    <w:p w14:paraId="46AA95BF">
      <w:pPr>
        <w:adjustRightInd w:val="0"/>
        <w:snapToGrid w:val="0"/>
        <w:spacing w:line="560" w:lineRule="exact"/>
        <w:ind w:firstLine="640" w:firstLineChars="200"/>
        <w:jc w:val="left"/>
        <w:rPr>
          <w:rFonts w:hint="eastAsia" w:ascii="黑体" w:hAnsi="黑体" w:eastAsia="黑体"/>
          <w:snapToGrid w:val="0"/>
          <w:color w:val="000000"/>
          <w:kern w:val="0"/>
          <w:sz w:val="32"/>
          <w:szCs w:val="32"/>
        </w:rPr>
      </w:pPr>
      <w:r>
        <w:rPr>
          <w:rFonts w:hint="eastAsia" w:ascii="黑体" w:hAnsi="黑体" w:eastAsia="黑体"/>
          <w:snapToGrid w:val="0"/>
          <w:color w:val="000000"/>
          <w:kern w:val="0"/>
          <w:sz w:val="32"/>
          <w:szCs w:val="32"/>
        </w:rPr>
        <w:t>二、存在问题和困难</w:t>
      </w:r>
    </w:p>
    <w:p w14:paraId="5B93AD31">
      <w:pPr>
        <w:adjustRightInd w:val="0"/>
        <w:snapToGrid w:val="0"/>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部分事项文件政策性较强，群众理解难度较大。</w:t>
      </w:r>
      <w:r>
        <w:rPr>
          <w:rFonts w:hint="eastAsia" w:ascii="仿宋_GB2312" w:eastAsia="仿宋_GB2312"/>
          <w:sz w:val="32"/>
          <w:szCs w:val="32"/>
          <w:lang w:val="en-US" w:eastAsia="zh-CN"/>
        </w:rPr>
        <w:t>如</w:t>
      </w:r>
      <w:r>
        <w:rPr>
          <w:rFonts w:hint="eastAsia" w:ascii="仿宋_GB2312" w:eastAsia="仿宋_GB2312"/>
          <w:sz w:val="32"/>
          <w:szCs w:val="32"/>
        </w:rPr>
        <w:t>教师资格认定</w:t>
      </w:r>
      <w:r>
        <w:rPr>
          <w:rFonts w:hint="eastAsia" w:ascii="仿宋_GB2312" w:eastAsia="仿宋_GB2312"/>
          <w:sz w:val="32"/>
          <w:szCs w:val="32"/>
          <w:lang w:val="en-US" w:eastAsia="zh-CN"/>
        </w:rPr>
        <w:t>及非学科类线下校外培训机构设置审批事项</w:t>
      </w:r>
      <w:r>
        <w:rPr>
          <w:rFonts w:hint="eastAsia" w:ascii="仿宋_GB2312" w:eastAsia="仿宋_GB2312"/>
          <w:sz w:val="32"/>
          <w:szCs w:val="32"/>
        </w:rPr>
        <w:t>，因有关文件政策性较强，即使我局对相关政策进行解读并对外公开，但部分申请人了解仍不够透彻，直接通过电话咨询的人数较多。</w:t>
      </w:r>
    </w:p>
    <w:p w14:paraId="11A23C40">
      <w:pPr>
        <w:adjustRightInd w:val="0"/>
        <w:snapToGrid w:val="0"/>
        <w:spacing w:line="560" w:lineRule="exact"/>
        <w:ind w:firstLine="640" w:firstLineChars="200"/>
        <w:jc w:val="left"/>
        <w:rPr>
          <w:rFonts w:hint="eastAsia" w:ascii="黑体" w:hAnsi="黑体" w:eastAsia="黑体"/>
          <w:snapToGrid w:val="0"/>
          <w:color w:val="000000"/>
          <w:kern w:val="0"/>
          <w:sz w:val="32"/>
          <w:szCs w:val="32"/>
        </w:rPr>
      </w:pPr>
      <w:r>
        <w:rPr>
          <w:rFonts w:hint="eastAsia" w:ascii="黑体" w:hAnsi="黑体" w:eastAsia="黑体"/>
          <w:snapToGrid w:val="0"/>
          <w:color w:val="000000"/>
          <w:kern w:val="0"/>
          <w:sz w:val="32"/>
          <w:szCs w:val="32"/>
        </w:rPr>
        <w:t>三、下一步工作措施及有关建议</w:t>
      </w:r>
    </w:p>
    <w:p w14:paraId="70EB6CFB">
      <w:pPr>
        <w:adjustRightInd w:val="0"/>
        <w:snapToGrid w:val="0"/>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一）通过多种形式加大有关法律法规和政策的宣传力度，如举办培训班、开展宣传活动、制作宣传材料等。同时，进一步明确办理流程，对反映较多的疑问进行集中整理并解答，帮助申请人更好地理解和掌握相关政策要求。</w:t>
      </w:r>
    </w:p>
    <w:p w14:paraId="77606209">
      <w:pPr>
        <w:adjustRightInd w:val="0"/>
        <w:snapToGrid w:val="0"/>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二）加强与其他部门之间的联系和协作，共同研究解决审批过程中遇到的问题和困难。通过信息共享和相互协同，进一步简化办事流程、优化审批程序，方便群众办事。同时，我们还将积极探索跨部门联合审批等创新方式，提高审批效率和服务水平。</w:t>
      </w:r>
    </w:p>
    <w:p w14:paraId="4E780D71">
      <w:pPr>
        <w:adjustRightInd w:val="0"/>
        <w:snapToGrid w:val="0"/>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三）继续完善网上办事大厅的功能和服务，提高网上办事效率。同时，加大事中事后监管力度，切实落实审批事项结果双公示制度。通过加强对审批结果的监督和检查，确保各项审批工作依法依规进行，保障申请人的合法权益。</w:t>
      </w:r>
    </w:p>
    <w:p w14:paraId="0D931FCB">
      <w:pPr>
        <w:adjustRightInd w:val="0"/>
        <w:snapToGrid w:val="0"/>
        <w:spacing w:line="560" w:lineRule="exact"/>
        <w:jc w:val="left"/>
        <w:rPr>
          <w:rFonts w:hint="eastAsia" w:ascii="仿宋_GB2312" w:eastAsia="仿宋_GB2312"/>
          <w:snapToGrid w:val="0"/>
          <w:color w:val="000000"/>
          <w:kern w:val="0"/>
          <w:sz w:val="32"/>
          <w:szCs w:val="32"/>
        </w:rPr>
      </w:pPr>
    </w:p>
    <w:p w14:paraId="149EA5C7">
      <w:bookmarkStart w:id="0" w:name="_GoBack"/>
      <w:bookmarkEnd w:id="0"/>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3A8D9798-2E84-4F10-891F-89A615026499}"/>
  </w:font>
  <w:font w:name="黑体">
    <w:panose1 w:val="02010609060101010101"/>
    <w:charset w:val="86"/>
    <w:family w:val="auto"/>
    <w:pitch w:val="default"/>
    <w:sig w:usb0="800002BF" w:usb1="38CF7CFA" w:usb2="00000016" w:usb3="00000000" w:csb0="00040001" w:csb1="00000000"/>
    <w:embedRegular r:id="rId2" w:fontKey="{5B836B59-C7E6-4379-961F-03B9952FEF04}"/>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23F5C142-2767-422C-BD15-DAAABF4D0B7E}"/>
  </w:font>
  <w:font w:name="仿宋_GB2312">
    <w:panose1 w:val="02010609030101010101"/>
    <w:charset w:val="86"/>
    <w:family w:val="modern"/>
    <w:pitch w:val="default"/>
    <w:sig w:usb0="00000001" w:usb1="080E0000" w:usb2="00000000" w:usb3="00000000" w:csb0="00040000" w:csb1="00000000"/>
    <w:embedRegular r:id="rId4" w:fontKey="{08C0C97F-5436-4E22-82E1-4559761D888A}"/>
  </w:font>
  <w:font w:name="方正小标宋简体">
    <w:panose1 w:val="02000000000000000000"/>
    <w:charset w:val="86"/>
    <w:family w:val="auto"/>
    <w:pitch w:val="default"/>
    <w:sig w:usb0="00000001" w:usb1="08000000" w:usb2="00000000" w:usb3="00000000" w:csb0="00040000" w:csb1="00000000"/>
    <w:embedRegular r:id="rId5" w:fontKey="{A126911A-07FE-4FA9-9B2C-921756364F07}"/>
  </w:font>
  <w:font w:name="楷体">
    <w:panose1 w:val="02010609060101010101"/>
    <w:charset w:val="86"/>
    <w:family w:val="modern"/>
    <w:pitch w:val="default"/>
    <w:sig w:usb0="800002BF" w:usb1="38CF7CFA" w:usb2="00000016" w:usb3="00000000" w:csb0="00040001" w:csb1="00000000"/>
    <w:embedRegular r:id="rId6" w:fontKey="{B07539D8-96CB-4FD6-9FBE-B2A4583E096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8B8D18">
    <w:pPr>
      <w:pStyle w:val="2"/>
      <w:jc w:val="center"/>
    </w:pPr>
    <w:r>
      <w:fldChar w:fldCharType="begin"/>
    </w:r>
    <w:r>
      <w:instrText xml:space="preserve"> PAGE   \* MERGEFORMAT </w:instrText>
    </w:r>
    <w:r>
      <w:fldChar w:fldCharType="separate"/>
    </w:r>
    <w:r>
      <w:rPr>
        <w:lang w:val="zh-CN"/>
      </w:rPr>
      <w:t>4</w:t>
    </w:r>
    <w:r>
      <w:fldChar w:fldCharType="end"/>
    </w:r>
  </w:p>
  <w:p w14:paraId="4CAAF8E5">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UwMWVkNWQ3N2E0YWM4MmZjZGU1NjAwZjFkMmQ3YjUifQ=="/>
  </w:docVars>
  <w:rsids>
    <w:rsidRoot w:val="00000000"/>
    <w:rsid w:val="036944B0"/>
    <w:rsid w:val="0EA71767"/>
    <w:rsid w:val="12D14358"/>
    <w:rsid w:val="1F16021D"/>
    <w:rsid w:val="21242EE1"/>
    <w:rsid w:val="31A17F44"/>
    <w:rsid w:val="465B5542"/>
    <w:rsid w:val="49317CDA"/>
    <w:rsid w:val="4DC2652B"/>
    <w:rsid w:val="505B1A43"/>
    <w:rsid w:val="5302486C"/>
    <w:rsid w:val="5BE70AC5"/>
    <w:rsid w:val="66170383"/>
    <w:rsid w:val="6DD943F9"/>
    <w:rsid w:val="76774239"/>
    <w:rsid w:val="7D5176F5"/>
    <w:rsid w:val="7E144FA9"/>
    <w:rsid w:val="7E9F4494"/>
    <w:rsid w:val="7F6222B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1"/>
      <w:lang w:val="en-US" w:eastAsia="zh-CN" w:bidi="ar-SA"/>
    </w:rPr>
  </w:style>
  <w:style w:type="character" w:default="1" w:styleId="4">
    <w:name w:val="Default Paragraph Font"/>
    <w:autoRedefine/>
    <w:semiHidden/>
    <w:qFormat/>
    <w:uiPriority w:val="0"/>
  </w:style>
  <w:style w:type="table" w:default="1" w:styleId="3">
    <w:name w:val="Normal Table"/>
    <w:autoRedefine/>
    <w:semiHidden/>
    <w:qFormat/>
    <w:uiPriority w:val="0"/>
    <w:tblPr>
      <w:tblCellMar>
        <w:top w:w="0" w:type="dxa"/>
        <w:left w:w="108" w:type="dxa"/>
        <w:bottom w:w="0" w:type="dxa"/>
        <w:right w:w="108" w:type="dxa"/>
      </w:tblCellMar>
    </w:tblPr>
  </w:style>
  <w:style w:type="paragraph" w:styleId="2">
    <w:name w:val="footer"/>
    <w:basedOn w:val="1"/>
    <w:autoRedefine/>
    <w:qFormat/>
    <w:uiPriority w:val="99"/>
    <w:pPr>
      <w:tabs>
        <w:tab w:val="center" w:pos="4153"/>
        <w:tab w:val="right" w:pos="8306"/>
      </w:tabs>
      <w:snapToGrid w:val="0"/>
      <w:jc w:val="left"/>
    </w:pPr>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1805</Words>
  <Characters>1847</Characters>
  <Lines>0</Lines>
  <Paragraphs>0</Paragraphs>
  <TotalTime>0</TotalTime>
  <ScaleCrop>false</ScaleCrop>
  <LinksUpToDate>false</LinksUpToDate>
  <CharactersWithSpaces>1852</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2022-01-17T06:39:00Z</dcterms:created>
  <dc:creator>Administrator</dc:creator>
  <cp:lastModifiedBy>周提莫</cp:lastModifiedBy>
  <dcterms:modified xsi:type="dcterms:W3CDTF">2025-01-08T13:57:06Z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79A0D1FD564A4B9E8F961698072642DB</vt:lpwstr>
  </property>
  <property fmtid="{D5CDD505-2E9C-101B-9397-08002B2CF9AE}" pid="4" name="KSOTemplateDocerSaveRecord">
    <vt:lpwstr>eyJoZGlkIjoiZDg3MTNkYzU2Y2U5MGQ0ZmUxNjlhNWRkMDUzMWI5YmEiLCJ1c2VySWQiOiIxMTQzNzgzMDY3In0=</vt:lpwstr>
  </property>
</Properties>
</file>