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90" w:lineRule="exact"/>
        <w:jc w:val="center"/>
        <w:rPr>
          <w:rFonts w:ascii="Times New Roman" w:hAnsi="Times New Roman" w:eastAsia="方正小标宋简体"/>
          <w:sz w:val="44"/>
          <w:szCs w:val="44"/>
        </w:rPr>
      </w:pPr>
    </w:p>
    <w:p>
      <w:pPr>
        <w:adjustRightInd w:val="0"/>
        <w:snapToGrid w:val="0"/>
        <w:spacing w:line="590" w:lineRule="exact"/>
        <w:jc w:val="center"/>
        <w:rPr>
          <w:rFonts w:ascii="Times New Roman" w:hAnsi="Times New Roman" w:eastAsia="方正小标宋简体"/>
          <w:sz w:val="44"/>
          <w:szCs w:val="44"/>
        </w:rPr>
      </w:pPr>
    </w:p>
    <w:p>
      <w:pPr>
        <w:keepNext w:val="0"/>
        <w:keepLines w:val="0"/>
        <w:pageBreakBefore w:val="0"/>
        <w:widowControl w:val="0"/>
        <w:kinsoku/>
        <w:wordWrap/>
        <w:overflowPunct/>
        <w:topLinePunct w:val="0"/>
        <w:autoSpaceDE/>
        <w:autoSpaceDN/>
        <w:bidi w:val="0"/>
        <w:adjustRightInd w:val="0"/>
        <w:snapToGrid w:val="0"/>
        <w:spacing w:line="720" w:lineRule="exact"/>
        <w:jc w:val="center"/>
        <w:textAlignment w:val="auto"/>
        <w:rPr>
          <w:rFonts w:hint="eastAsia" w:ascii="Times New Roman" w:hAnsi="Times New Roman" w:eastAsia="方正小标宋简体"/>
          <w:sz w:val="44"/>
          <w:szCs w:val="44"/>
        </w:rPr>
      </w:pPr>
      <w:r>
        <w:rPr>
          <w:rFonts w:hint="eastAsia" w:ascii="Times New Roman" w:hAnsi="Times New Roman" w:eastAsia="方正小标宋简体"/>
          <w:sz w:val="44"/>
          <w:szCs w:val="44"/>
        </w:rPr>
        <w:t>高州市2024年度第十七批次城镇建设用地</w:t>
      </w:r>
    </w:p>
    <w:p>
      <w:pPr>
        <w:keepNext w:val="0"/>
        <w:keepLines w:val="0"/>
        <w:pageBreakBefore w:val="0"/>
        <w:widowControl w:val="0"/>
        <w:kinsoku/>
        <w:wordWrap/>
        <w:overflowPunct/>
        <w:topLinePunct w:val="0"/>
        <w:autoSpaceDE/>
        <w:autoSpaceDN/>
        <w:bidi w:val="0"/>
        <w:adjustRightInd w:val="0"/>
        <w:snapToGrid w:val="0"/>
        <w:spacing w:line="720" w:lineRule="exact"/>
        <w:jc w:val="center"/>
        <w:textAlignment w:val="auto"/>
        <w:rPr>
          <w:rFonts w:ascii="Times New Roman" w:hAnsi="Times New Roman" w:eastAsia="方正小标宋简体"/>
          <w:sz w:val="44"/>
          <w:szCs w:val="44"/>
        </w:rPr>
      </w:pPr>
      <w:r>
        <w:rPr>
          <w:rFonts w:ascii="Times New Roman" w:hAnsi="Times New Roman" w:eastAsia="方正小标宋简体"/>
          <w:sz w:val="44"/>
          <w:szCs w:val="44"/>
        </w:rPr>
        <w:t>征地补偿安置方案</w:t>
      </w:r>
    </w:p>
    <w:p>
      <w:pPr>
        <w:adjustRightInd w:val="0"/>
        <w:snapToGrid w:val="0"/>
        <w:spacing w:line="640" w:lineRule="exact"/>
        <w:jc w:val="center"/>
        <w:rPr>
          <w:rFonts w:ascii="Times New Roman" w:hAnsi="Times New Roman"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高州市2024年度第十七批次城镇建设用地，拟征收高州市宝光街道茶亭村木垌经济合作社的集体土地共1.0666公顷。根据土地管理法律、法规的有关规定，我局拟定该批次征地的补偿安置方案如下：</w:t>
      </w:r>
    </w:p>
    <w:p>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643" w:firstLineChars="200"/>
        <w:textAlignment w:val="auto"/>
        <w:rPr>
          <w:rFonts w:ascii="Times New Roman" w:hAnsi="Times New Roman" w:eastAsia="仿宋_GB2312"/>
          <w:sz w:val="32"/>
          <w:szCs w:val="32"/>
        </w:rPr>
      </w:pPr>
      <w:r>
        <w:rPr>
          <w:rFonts w:hint="eastAsia" w:ascii="Times New Roman" w:hAnsi="Times New Roman" w:eastAsia="仿宋_GB2312"/>
          <w:b/>
          <w:bCs/>
          <w:sz w:val="32"/>
          <w:szCs w:val="32"/>
        </w:rPr>
        <w:t>征地补偿：</w:t>
      </w:r>
      <w:r>
        <w:rPr>
          <w:rFonts w:hint="eastAsia" w:ascii="Times New Roman" w:hAnsi="Times New Roman" w:eastAsia="仿宋_GB2312"/>
          <w:sz w:val="32"/>
          <w:szCs w:val="32"/>
        </w:rPr>
        <w:t>征地补偿费（含土地补偿费和安置补助费）：园地每公顷91.8万元。青苗补偿费：园地按每公顷1.725万元计补。</w:t>
      </w:r>
    </w:p>
    <w:p>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643" w:firstLineChars="200"/>
        <w:textAlignment w:val="auto"/>
        <w:rPr>
          <w:rFonts w:ascii="Times New Roman" w:hAnsi="Times New Roman" w:eastAsia="仿宋_GB2312"/>
          <w:b/>
          <w:bCs/>
          <w:sz w:val="32"/>
          <w:szCs w:val="32"/>
        </w:rPr>
      </w:pPr>
      <w:r>
        <w:rPr>
          <w:rFonts w:hint="eastAsia" w:ascii="Times New Roman" w:hAnsi="Times New Roman" w:eastAsia="仿宋_GB2312"/>
          <w:b/>
          <w:bCs/>
          <w:sz w:val="32"/>
          <w:szCs w:val="32"/>
        </w:rPr>
        <w:t>留用地安置方案：</w:t>
      </w:r>
      <w:r>
        <w:rPr>
          <w:rFonts w:hint="eastAsia" w:ascii="Times New Roman" w:hAnsi="Times New Roman" w:eastAsia="仿宋_GB2312"/>
          <w:sz w:val="32"/>
          <w:szCs w:val="32"/>
        </w:rPr>
        <w:t>具</w:t>
      </w:r>
      <w:r>
        <w:rPr>
          <w:rFonts w:hint="eastAsia" w:ascii="Times New Roman" w:hAnsi="Times New Roman" w:eastAsia="仿宋_GB2312"/>
          <w:sz w:val="32"/>
          <w:szCs w:val="32"/>
          <w:lang w:val="en-US" w:eastAsia="zh-CN"/>
        </w:rPr>
        <w:t>体</w:t>
      </w:r>
      <w:bookmarkStart w:id="0" w:name="_GoBack"/>
      <w:bookmarkEnd w:id="0"/>
      <w:r>
        <w:rPr>
          <w:rFonts w:hint="eastAsia" w:ascii="Times New Roman" w:hAnsi="Times New Roman" w:eastAsia="仿宋_GB2312"/>
          <w:sz w:val="32"/>
          <w:szCs w:val="32"/>
        </w:rPr>
        <w:t>按《广东省征收农村集体土地留用地管理办法（试行）》（粤府办</w:t>
      </w:r>
      <w:r>
        <w:rPr>
          <w:rFonts w:hint="default" w:ascii="Times New Roman" w:hAnsi="Times New Roman" w:eastAsia="仿宋_GB2312"/>
          <w:sz w:val="32"/>
          <w:szCs w:val="32"/>
        </w:rPr>
        <w:t>〔</w:t>
      </w:r>
      <w:r>
        <w:rPr>
          <w:rFonts w:hint="eastAsia" w:ascii="Times New Roman" w:hAnsi="Times New Roman" w:eastAsia="仿宋_GB2312"/>
          <w:sz w:val="32"/>
          <w:szCs w:val="32"/>
        </w:rPr>
        <w:t>2009</w:t>
      </w:r>
      <w:r>
        <w:rPr>
          <w:rFonts w:hint="default" w:ascii="Times New Roman" w:hAnsi="Times New Roman" w:eastAsia="仿宋_GB2312"/>
          <w:sz w:val="32"/>
          <w:szCs w:val="32"/>
        </w:rPr>
        <w:t>〕</w:t>
      </w:r>
      <w:r>
        <w:rPr>
          <w:rFonts w:hint="eastAsia" w:ascii="Times New Roman" w:hAnsi="Times New Roman" w:eastAsia="仿宋_GB2312"/>
          <w:sz w:val="32"/>
          <w:szCs w:val="32"/>
        </w:rPr>
        <w:t>41号）、《广东省人民政府办公厅关于加强征收农村集休土地留用地安置管理工作的意见》（粤府办</w:t>
      </w:r>
      <w:r>
        <w:rPr>
          <w:rFonts w:hint="default" w:ascii="Times New Roman" w:hAnsi="Times New Roman" w:eastAsia="仿宋_GB2312"/>
          <w:sz w:val="32"/>
          <w:szCs w:val="32"/>
        </w:rPr>
        <w:t>〔</w:t>
      </w:r>
      <w:r>
        <w:rPr>
          <w:rFonts w:hint="eastAsia" w:ascii="Times New Roman" w:hAnsi="Times New Roman" w:eastAsia="仿宋_GB2312"/>
          <w:sz w:val="32"/>
          <w:szCs w:val="32"/>
        </w:rPr>
        <w:t>2016</w:t>
      </w:r>
      <w:r>
        <w:rPr>
          <w:rFonts w:hint="default" w:ascii="Times New Roman" w:hAnsi="Times New Roman" w:eastAsia="仿宋_GB2312"/>
          <w:sz w:val="32"/>
          <w:szCs w:val="32"/>
        </w:rPr>
        <w:t>〕</w:t>
      </w:r>
      <w:r>
        <w:rPr>
          <w:rFonts w:hint="eastAsia" w:ascii="Times New Roman" w:hAnsi="Times New Roman" w:eastAsia="仿宋_GB2312"/>
          <w:sz w:val="32"/>
          <w:szCs w:val="32"/>
        </w:rPr>
        <w:t>30号）的规定，按实际征收土地面积的15%安排留用地，留用地兑现方式为折算成货币补偿，补偿标准为210.00万元/公顷。</w:t>
      </w:r>
    </w:p>
    <w:p>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643" w:firstLineChars="200"/>
        <w:textAlignment w:val="auto"/>
        <w:rPr>
          <w:rFonts w:ascii="Times New Roman" w:hAnsi="Times New Roman" w:eastAsia="仿宋_GB2312"/>
          <w:sz w:val="32"/>
          <w:szCs w:val="32"/>
        </w:rPr>
      </w:pPr>
      <w:r>
        <w:rPr>
          <w:rFonts w:hint="eastAsia" w:ascii="Times New Roman" w:hAnsi="Times New Roman" w:eastAsia="仿宋_GB2312"/>
          <w:b/>
          <w:bCs/>
          <w:sz w:val="32"/>
          <w:szCs w:val="32"/>
        </w:rPr>
        <w:t>农业安置方案：</w:t>
      </w:r>
      <w:r>
        <w:rPr>
          <w:rFonts w:hint="eastAsia" w:ascii="Times New Roman" w:hAnsi="Times New Roman" w:eastAsia="仿宋_GB2312"/>
          <w:sz w:val="32"/>
          <w:szCs w:val="32"/>
        </w:rPr>
        <w:t>被征地村（队）根据本村（队）实际情况，由集体经济组织内部对承包的土地自行调整安置。</w:t>
      </w:r>
    </w:p>
    <w:p>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643" w:firstLineChars="200"/>
        <w:textAlignment w:val="auto"/>
        <w:rPr>
          <w:rFonts w:ascii="Times New Roman" w:hAnsi="Times New Roman" w:eastAsia="仿宋_GB2312"/>
          <w:sz w:val="32"/>
          <w:szCs w:val="32"/>
        </w:rPr>
      </w:pPr>
      <w:r>
        <w:rPr>
          <w:rFonts w:hint="eastAsia" w:ascii="Times New Roman" w:hAnsi="Times New Roman" w:eastAsia="仿宋_GB2312"/>
          <w:b/>
          <w:bCs/>
          <w:sz w:val="32"/>
          <w:szCs w:val="32"/>
        </w:rPr>
        <w:t>社会保障安置：</w:t>
      </w:r>
      <w:r>
        <w:rPr>
          <w:rFonts w:hint="eastAsia" w:ascii="Times New Roman" w:hAnsi="Times New Roman" w:eastAsia="仿宋_GB2312"/>
          <w:sz w:val="32"/>
          <w:szCs w:val="32"/>
        </w:rPr>
        <w:t>参见《被征地农民养老保障方案》。</w:t>
      </w:r>
    </w:p>
    <w:p>
      <w:pPr>
        <w:keepNext w:val="0"/>
        <w:keepLines w:val="0"/>
        <w:pageBreakBefore w:val="0"/>
        <w:widowControl w:val="0"/>
        <w:kinsoku/>
        <w:wordWrap/>
        <w:overflowPunct/>
        <w:topLinePunct w:val="0"/>
        <w:autoSpaceDE/>
        <w:autoSpaceDN/>
        <w:bidi w:val="0"/>
        <w:adjustRightInd/>
        <w:snapToGrid/>
        <w:spacing w:line="640" w:lineRule="exact"/>
        <w:ind w:left="0" w:leftChars="0"/>
        <w:textAlignment w:val="auto"/>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left="0" w:leftChars="0"/>
        <w:textAlignment w:val="auto"/>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left="0" w:leftChars="0"/>
        <w:textAlignment w:val="auto"/>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1283" w:rightChars="611"/>
        <w:jc w:val="right"/>
        <w:textAlignment w:val="auto"/>
        <w:rPr>
          <w:rFonts w:ascii="Times New Roman" w:hAnsi="Times New Roman" w:eastAsia="仿宋_GB2312"/>
          <w:sz w:val="32"/>
          <w:szCs w:val="32"/>
        </w:rPr>
      </w:pPr>
      <w:r>
        <w:rPr>
          <w:rFonts w:hint="eastAsia" w:ascii="Times New Roman" w:hAnsi="Times New Roman" w:eastAsia="仿宋_GB2312"/>
          <w:sz w:val="32"/>
          <w:szCs w:val="32"/>
        </w:rPr>
        <w:t>高州市自然资源局</w:t>
      </w:r>
    </w:p>
    <w:p>
      <w:pPr>
        <w:keepNext w:val="0"/>
        <w:keepLines w:val="0"/>
        <w:pageBreakBefore w:val="0"/>
        <w:widowControl w:val="0"/>
        <w:kinsoku/>
        <w:wordWrap/>
        <w:overflowPunct/>
        <w:topLinePunct w:val="0"/>
        <w:autoSpaceDE/>
        <w:autoSpaceDN/>
        <w:bidi w:val="0"/>
        <w:adjustRightInd/>
        <w:snapToGrid/>
        <w:spacing w:line="640" w:lineRule="exact"/>
        <w:ind w:left="0" w:leftChars="0" w:right="1283" w:rightChars="611"/>
        <w:jc w:val="right"/>
        <w:textAlignment w:val="auto"/>
        <w:rPr>
          <w:rFonts w:ascii="Times New Roman" w:hAnsi="Times New Roman" w:eastAsia="仿宋_GB2312"/>
          <w:sz w:val="32"/>
          <w:szCs w:val="32"/>
        </w:rPr>
      </w:pPr>
      <w:r>
        <w:rPr>
          <w:rFonts w:hint="eastAsia" w:ascii="Times New Roman" w:hAnsi="Times New Roman" w:eastAsia="仿宋_GB2312"/>
          <w:sz w:val="32"/>
          <w:szCs w:val="32"/>
        </w:rPr>
        <w:t>2024年5月</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日</w:t>
      </w:r>
    </w:p>
    <w:p>
      <w:pPr>
        <w:spacing w:line="640" w:lineRule="exact"/>
        <w:ind w:left="0" w:leftChars="0"/>
        <w:rPr>
          <w:rFonts w:ascii="Times New Roman" w:hAnsi="Times New Roman" w:eastAsia="仿宋_GB2312"/>
          <w:sz w:val="32"/>
          <w:szCs w:val="32"/>
        </w:rPr>
      </w:pPr>
    </w:p>
    <w:p>
      <w:pPr>
        <w:spacing w:line="640" w:lineRule="exact"/>
        <w:rPr>
          <w:rFonts w:ascii="Times New Roman" w:hAnsi="Times New Roman"/>
        </w:rPr>
      </w:pPr>
    </w:p>
    <w:sectPr>
      <w:footerReference r:id="rId3" w:type="default"/>
      <w:pgSz w:w="11906" w:h="16838"/>
      <w:pgMar w:top="1984" w:right="1531" w:bottom="187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8E6D65"/>
    <w:multiLevelType w:val="singleLevel"/>
    <w:tmpl w:val="278E6D65"/>
    <w:lvl w:ilvl="0" w:tentative="0">
      <w:start w:val="1"/>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3MTc3NjRlOGY2ZjM1NGRkODEwNjAzM2VjYzQ0YzAifQ=="/>
    <w:docVar w:name="KSO_WPS_MARK_KEY" w:val="9b026a47-5d41-4a5c-ad8e-79408c65cdf0"/>
  </w:docVars>
  <w:rsids>
    <w:rsidRoot w:val="00403E86"/>
    <w:rsid w:val="000B0BB2"/>
    <w:rsid w:val="00170A07"/>
    <w:rsid w:val="0017646F"/>
    <w:rsid w:val="001B0704"/>
    <w:rsid w:val="002271B0"/>
    <w:rsid w:val="002D4219"/>
    <w:rsid w:val="002E0BC2"/>
    <w:rsid w:val="002E6064"/>
    <w:rsid w:val="00403E86"/>
    <w:rsid w:val="004236A3"/>
    <w:rsid w:val="0048757A"/>
    <w:rsid w:val="00513C58"/>
    <w:rsid w:val="0052618A"/>
    <w:rsid w:val="005B4A45"/>
    <w:rsid w:val="00741B03"/>
    <w:rsid w:val="007F69FC"/>
    <w:rsid w:val="00956B30"/>
    <w:rsid w:val="009A7178"/>
    <w:rsid w:val="009D06D7"/>
    <w:rsid w:val="00B40ACF"/>
    <w:rsid w:val="00C0503E"/>
    <w:rsid w:val="00C45EB9"/>
    <w:rsid w:val="00C81686"/>
    <w:rsid w:val="00DA7838"/>
    <w:rsid w:val="00E20930"/>
    <w:rsid w:val="00EB6590"/>
    <w:rsid w:val="00EF3A51"/>
    <w:rsid w:val="00F47D1F"/>
    <w:rsid w:val="00F6337A"/>
    <w:rsid w:val="00F7540E"/>
    <w:rsid w:val="00FC673A"/>
    <w:rsid w:val="00FD38B7"/>
    <w:rsid w:val="040533F8"/>
    <w:rsid w:val="15CF6997"/>
    <w:rsid w:val="1B060EDF"/>
    <w:rsid w:val="250F06BF"/>
    <w:rsid w:val="3F182733"/>
    <w:rsid w:val="49AD5280"/>
    <w:rsid w:val="4EF474AD"/>
    <w:rsid w:val="53963550"/>
    <w:rsid w:val="59541595"/>
    <w:rsid w:val="7F317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character" w:styleId="6">
    <w:name w:val="Strong"/>
    <w:basedOn w:val="5"/>
    <w:qFormat/>
    <w:uiPriority w:val="0"/>
    <w:rPr>
      <w:rFonts w:ascii="Times New Roman" w:hAnsi="Times New Roman" w:eastAsia="宋体" w:cs="Times New Roman"/>
      <w:b/>
    </w:rPr>
  </w:style>
  <w:style w:type="character" w:customStyle="1" w:styleId="7">
    <w:name w:val="页眉 字符"/>
    <w:basedOn w:val="5"/>
    <w:link w:val="3"/>
    <w:qFormat/>
    <w:uiPriority w:val="0"/>
    <w:rPr>
      <w:rFonts w:ascii="Calibri" w:hAnsi="Calibri" w:eastAsia="宋体" w:cs="Times New Roman"/>
      <w:kern w:val="2"/>
      <w:sz w:val="18"/>
      <w:szCs w:val="18"/>
    </w:rPr>
  </w:style>
  <w:style w:type="character" w:customStyle="1" w:styleId="8">
    <w:name w:val="页脚 字符"/>
    <w:basedOn w:val="5"/>
    <w:link w:val="2"/>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427</Words>
  <Characters>465</Characters>
  <Lines>3</Lines>
  <Paragraphs>1</Paragraphs>
  <TotalTime>106</TotalTime>
  <ScaleCrop>false</ScaleCrop>
  <LinksUpToDate>false</LinksUpToDate>
  <CharactersWithSpaces>465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2023-04-13T08:33:00Z</dcterms:created>
  <dc:creator>Admin</dc:creator>
  <cp:lastModifiedBy>黄浩诗</cp:lastModifiedBy>
  <cp:lastPrinted>2024-05-30T02:34:00Z</cp:lastPrinted>
  <dcterms:modified xsi:type="dcterms:W3CDTF">2025-05-19T09:46:05Z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BBDBE3F06DA44AA0946C514F7EE2B083_12</vt:lpwstr>
  </property>
  <property fmtid="{D5CDD505-2E9C-101B-9397-08002B2CF9AE}" pid="4" name="showFlag">
    <vt:bool>false</vt:bool>
  </property>
</Properties>
</file>