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80" w:lineRule="exact"/>
        <w:jc w:val="center"/>
        <w:rPr>
          <w:rFonts w:ascii="Times New Roman" w:hAnsi="Times New Roman" w:eastAsia="方正小标宋简体"/>
          <w:sz w:val="44"/>
          <w:szCs w:val="44"/>
        </w:rPr>
      </w:pPr>
    </w:p>
    <w:p>
      <w:pPr>
        <w:adjustRightInd w:val="0"/>
        <w:snapToGrid w:val="0"/>
        <w:spacing w:line="580" w:lineRule="exact"/>
        <w:jc w:val="both"/>
        <w:rPr>
          <w:rFonts w:ascii="Times New Roman" w:hAnsi="Times New Roman" w:eastAsia="方正小标宋简体"/>
          <w:sz w:val="44"/>
          <w:szCs w:val="44"/>
        </w:rPr>
      </w:pPr>
    </w:p>
    <w:p>
      <w:pPr>
        <w:adjustRightInd w:val="0"/>
        <w:snapToGrid w:val="0"/>
        <w:spacing w:line="580" w:lineRule="exact"/>
        <w:jc w:val="both"/>
        <w:rPr>
          <w:rFonts w:ascii="Times New Roman" w:hAnsi="Times New Roman" w:eastAsia="方正小标宋简体"/>
          <w:sz w:val="44"/>
          <w:szCs w:val="44"/>
        </w:rPr>
      </w:pPr>
    </w:p>
    <w:p>
      <w:pPr>
        <w:adjustRightInd w:val="0"/>
        <w:snapToGrid w:val="0"/>
        <w:spacing w:line="580" w:lineRule="exact"/>
        <w:jc w:val="center"/>
        <w:rPr>
          <w:rFonts w:hint="eastAsia" w:ascii="Times New Roman" w:hAnsi="Times New Roman" w:eastAsia="方正小标宋简体"/>
          <w:sz w:val="44"/>
          <w:szCs w:val="44"/>
          <w:lang w:eastAsia="zh-CN"/>
        </w:rPr>
      </w:pPr>
      <w:r>
        <w:rPr>
          <w:rFonts w:hint="eastAsia" w:ascii="Times New Roman" w:hAnsi="Times New Roman" w:eastAsia="方正小标宋简体"/>
          <w:sz w:val="44"/>
          <w:szCs w:val="44"/>
          <w:lang w:eastAsia="zh-CN"/>
        </w:rPr>
        <w:t>高州市2024年度第三十</w:t>
      </w:r>
      <w:r>
        <w:rPr>
          <w:rFonts w:hint="eastAsia" w:ascii="Times New Roman" w:hAnsi="Times New Roman" w:eastAsia="方正小标宋简体"/>
          <w:sz w:val="44"/>
          <w:szCs w:val="44"/>
          <w:lang w:val="en-US" w:eastAsia="zh-CN"/>
        </w:rPr>
        <w:t>九</w:t>
      </w:r>
      <w:r>
        <w:rPr>
          <w:rFonts w:hint="eastAsia" w:ascii="Times New Roman" w:hAnsi="Times New Roman" w:eastAsia="方正小标宋简体"/>
          <w:sz w:val="44"/>
          <w:szCs w:val="44"/>
          <w:lang w:eastAsia="zh-CN"/>
        </w:rPr>
        <w:t>批次城镇建设</w:t>
      </w:r>
    </w:p>
    <w:p>
      <w:pPr>
        <w:adjustRightInd w:val="0"/>
        <w:snapToGrid w:val="0"/>
        <w:spacing w:line="580" w:lineRule="exact"/>
        <w:jc w:val="center"/>
        <w:rPr>
          <w:rFonts w:ascii="Times New Roman" w:hAnsi="Times New Roman" w:eastAsia="方正小标宋简体"/>
          <w:sz w:val="44"/>
          <w:szCs w:val="44"/>
        </w:rPr>
      </w:pPr>
      <w:r>
        <w:rPr>
          <w:rFonts w:hint="eastAsia" w:ascii="Times New Roman" w:hAnsi="Times New Roman" w:eastAsia="方正小标宋简体"/>
          <w:sz w:val="44"/>
          <w:szCs w:val="44"/>
          <w:lang w:eastAsia="zh-CN"/>
        </w:rPr>
        <w:t>用地</w:t>
      </w:r>
      <w:r>
        <w:rPr>
          <w:rFonts w:ascii="Times New Roman" w:hAnsi="Times New Roman" w:eastAsia="方正小标宋简体"/>
          <w:sz w:val="44"/>
          <w:szCs w:val="44"/>
        </w:rPr>
        <w:t>征地补偿安置方案</w:t>
      </w:r>
    </w:p>
    <w:p>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lang w:eastAsia="zh-CN"/>
        </w:rPr>
        <w:t>高州市2024年度第三十</w:t>
      </w:r>
      <w:r>
        <w:rPr>
          <w:rFonts w:hint="eastAsia" w:ascii="Times New Roman" w:hAnsi="Times New Roman" w:eastAsia="仿宋_GB2312"/>
          <w:sz w:val="32"/>
          <w:szCs w:val="32"/>
          <w:lang w:val="en-US" w:eastAsia="zh-CN"/>
        </w:rPr>
        <w:t>九</w:t>
      </w:r>
      <w:r>
        <w:rPr>
          <w:rFonts w:hint="eastAsia" w:ascii="Times New Roman" w:hAnsi="Times New Roman" w:eastAsia="仿宋_GB2312"/>
          <w:sz w:val="32"/>
          <w:szCs w:val="32"/>
          <w:lang w:eastAsia="zh-CN"/>
        </w:rPr>
        <w:t>批次城镇建设用地</w:t>
      </w:r>
      <w:r>
        <w:rPr>
          <w:rFonts w:hint="eastAsia" w:ascii="Times New Roman" w:hAnsi="Times New Roman" w:eastAsia="仿宋_GB2312" w:cs="Times New Roman"/>
          <w:sz w:val="32"/>
          <w:szCs w:val="32"/>
          <w:lang w:eastAsia="zh-CN"/>
        </w:rPr>
        <w:t>，拟征收高州市山美街道山美村低村一、低村二、低村三、低村四经济合作社、苍地村苍地一、苍地二、苍地三、苍地四、和坑二、和坑三、和坑四经济合作社、云径村云径一、</w:t>
      </w:r>
      <w:bookmarkStart w:id="0" w:name="_GoBack"/>
      <w:bookmarkEnd w:id="0"/>
      <w:r>
        <w:rPr>
          <w:rFonts w:hint="eastAsia" w:ascii="Times New Roman" w:hAnsi="Times New Roman" w:eastAsia="仿宋_GB2312" w:cs="Times New Roman"/>
          <w:sz w:val="32"/>
          <w:szCs w:val="32"/>
          <w:lang w:eastAsia="zh-CN"/>
        </w:rPr>
        <w:t>云径二、云径三、云径四、石坑塘一、石坑塘二、里坑经济合作社；高州市潘州街道谢村黄一、黄二、黄三经济合作社；高州市谢鸡镇义山村勒竹元、平龙二、</w:t>
      </w:r>
      <w:r>
        <w:rPr>
          <w:rFonts w:hint="eastAsia" w:ascii="SimSun-ExtB" w:hAnsi="SimSun-ExtB" w:eastAsia="SimSun-ExtB" w:cs="SimSun-ExtB"/>
          <w:sz w:val="32"/>
          <w:szCs w:val="32"/>
          <w:lang w:eastAsia="zh-CN"/>
        </w:rPr>
        <w:t>𡌶</w:t>
      </w:r>
      <w:r>
        <w:rPr>
          <w:rFonts w:hint="eastAsia" w:ascii="Times New Roman" w:hAnsi="Times New Roman" w:eastAsia="仿宋_GB2312" w:cs="Times New Roman"/>
          <w:sz w:val="32"/>
          <w:szCs w:val="32"/>
          <w:lang w:eastAsia="zh-CN"/>
        </w:rPr>
        <w:t>背经济合作社的集体土地共</w:t>
      </w:r>
      <w:r>
        <w:rPr>
          <w:rFonts w:hint="eastAsia" w:ascii="Times New Roman" w:hAnsi="Times New Roman" w:eastAsia="仿宋_GB2312" w:cs="仿宋_GB2312"/>
          <w:snapToGrid/>
          <w:kern w:val="0"/>
          <w:sz w:val="32"/>
          <w:szCs w:val="32"/>
          <w:lang w:val="en-US" w:eastAsia="zh-CN" w:bidi="ar-SA"/>
        </w:rPr>
        <w:t>6.6097</w:t>
      </w:r>
      <w:r>
        <w:rPr>
          <w:rFonts w:hint="eastAsia" w:ascii="Times New Roman" w:hAnsi="Times New Roman" w:eastAsia="仿宋_GB2312" w:cs="Times New Roman"/>
          <w:sz w:val="32"/>
          <w:szCs w:val="32"/>
          <w:lang w:eastAsia="zh-CN"/>
        </w:rPr>
        <w:t>公顷。根据土地管理法律、法规的有关规定，我局拟定该批次征地的补偿安置方案如下：</w:t>
      </w:r>
    </w:p>
    <w:p>
      <w:pPr>
        <w:numPr>
          <w:ilvl w:val="0"/>
          <w:numId w:val="1"/>
        </w:numPr>
        <w:spacing w:line="580" w:lineRule="exact"/>
        <w:ind w:firstLine="640" w:firstLineChars="200"/>
        <w:rPr>
          <w:rFonts w:ascii="Times New Roman" w:hAnsi="Times New Roman" w:eastAsia="仿宋_GB2312"/>
          <w:sz w:val="32"/>
          <w:szCs w:val="32"/>
        </w:rPr>
      </w:pPr>
      <w:r>
        <w:rPr>
          <w:rFonts w:hint="eastAsia" w:ascii="方正黑体简体" w:hAnsi="方正黑体简体" w:eastAsia="方正黑体简体" w:cs="方正黑体简体"/>
          <w:b w:val="0"/>
          <w:bCs w:val="0"/>
          <w:sz w:val="32"/>
          <w:szCs w:val="32"/>
        </w:rPr>
        <w:t>征地补偿：</w:t>
      </w:r>
      <w:r>
        <w:rPr>
          <w:rFonts w:hint="eastAsia" w:ascii="Times New Roman" w:hAnsi="Times New Roman" w:eastAsia="仿宋_GB2312"/>
          <w:sz w:val="32"/>
          <w:szCs w:val="32"/>
        </w:rPr>
        <w:t>征地补偿费（含土地补偿费和安置补助费）：</w:t>
      </w:r>
      <w:r>
        <w:rPr>
          <w:rFonts w:hint="eastAsia" w:ascii="Times New Roman" w:hAnsi="Times New Roman" w:eastAsia="仿宋_GB2312" w:cs="仿宋_GB2312"/>
          <w:snapToGrid/>
          <w:kern w:val="0"/>
          <w:sz w:val="32"/>
          <w:szCs w:val="32"/>
          <w:lang w:val="en-US" w:eastAsia="zh-CN" w:bidi="ar-SA"/>
        </w:rPr>
        <w:t>耕地、其他农用地</w:t>
      </w:r>
      <w:r>
        <w:rPr>
          <w:rFonts w:hint="eastAsia" w:ascii="Times New Roman" w:hAnsi="Times New Roman" w:eastAsia="仿宋_GB2312"/>
          <w:sz w:val="32"/>
          <w:szCs w:val="32"/>
        </w:rPr>
        <w:t>每公顷91.8万元。青苗补偿</w:t>
      </w:r>
      <w:r>
        <w:rPr>
          <w:rFonts w:hint="eastAsia" w:ascii="Times New Roman" w:hAnsi="Times New Roman" w:eastAsia="仿宋_GB2312"/>
          <w:sz w:val="32"/>
          <w:szCs w:val="32"/>
          <w:lang w:val="en-US" w:eastAsia="zh-CN"/>
        </w:rPr>
        <w:t>参照</w:t>
      </w:r>
      <w:r>
        <w:rPr>
          <w:rFonts w:hint="eastAsia" w:ascii="Times New Roman" w:hAnsi="Times New Roman" w:eastAsia="仿宋_GB2312"/>
          <w:sz w:val="32"/>
          <w:szCs w:val="32"/>
        </w:rPr>
        <w:t>《关于公布实施茂名市征收地上附着物和青苗补偿标准的公告》（茂府通〔2024</w:t>
      </w:r>
      <w:r>
        <w:rPr>
          <w:rFonts w:hint="default" w:ascii="Times New Roman" w:hAnsi="Times New Roman" w:eastAsia="仿宋_GB2312" w:cs="Times New Roman"/>
          <w:sz w:val="32"/>
          <w:szCs w:val="32"/>
          <w:lang w:eastAsia="zh-CN"/>
        </w:rPr>
        <w:t>〕</w:t>
      </w:r>
      <w:r>
        <w:rPr>
          <w:rFonts w:hint="eastAsia" w:ascii="Times New Roman" w:hAnsi="Times New Roman" w:eastAsia="仿宋_GB2312"/>
          <w:sz w:val="32"/>
          <w:szCs w:val="32"/>
        </w:rPr>
        <w:t>3号）的规定</w:t>
      </w:r>
      <w:r>
        <w:rPr>
          <w:rFonts w:hint="eastAsia" w:ascii="Times New Roman" w:hAnsi="Times New Roman" w:eastAsia="仿宋_GB2312"/>
          <w:sz w:val="32"/>
          <w:szCs w:val="32"/>
          <w:lang w:val="en-US" w:eastAsia="zh-CN"/>
        </w:rPr>
        <w:t>计补</w:t>
      </w:r>
      <w:r>
        <w:rPr>
          <w:rFonts w:hint="eastAsia" w:ascii="Times New Roman" w:hAnsi="Times New Roman" w:eastAsia="仿宋_GB2312"/>
          <w:sz w:val="32"/>
          <w:szCs w:val="32"/>
        </w:rPr>
        <w:t>。</w:t>
      </w:r>
    </w:p>
    <w:p>
      <w:pPr>
        <w:numPr>
          <w:ilvl w:val="0"/>
          <w:numId w:val="1"/>
        </w:numPr>
        <w:spacing w:line="580" w:lineRule="exact"/>
        <w:ind w:firstLine="640" w:firstLineChars="200"/>
        <w:rPr>
          <w:rFonts w:ascii="Times New Roman" w:hAnsi="Times New Roman" w:eastAsia="仿宋_GB2312"/>
          <w:sz w:val="32"/>
          <w:szCs w:val="32"/>
        </w:rPr>
      </w:pPr>
      <w:r>
        <w:rPr>
          <w:rFonts w:hint="eastAsia" w:ascii="方正黑体简体" w:hAnsi="方正黑体简体" w:eastAsia="方正黑体简体" w:cs="方正黑体简体"/>
          <w:b w:val="0"/>
          <w:bCs w:val="0"/>
          <w:sz w:val="32"/>
          <w:szCs w:val="32"/>
        </w:rPr>
        <w:t>留用地安置方案：</w:t>
      </w:r>
      <w:r>
        <w:rPr>
          <w:rFonts w:hint="default" w:ascii="Times New Roman" w:hAnsi="Times New Roman" w:eastAsia="仿宋_GB2312"/>
          <w:sz w:val="32"/>
          <w:szCs w:val="32"/>
          <w:lang w:val="en"/>
        </w:rPr>
        <w:t>具体</w:t>
      </w:r>
      <w:r>
        <w:rPr>
          <w:rFonts w:hint="eastAsia" w:ascii="Times New Roman" w:hAnsi="Times New Roman" w:eastAsia="仿宋_GB2312"/>
          <w:sz w:val="32"/>
          <w:szCs w:val="32"/>
        </w:rPr>
        <w:t>按《广东省征收农村集体土地留用地管理办法（试行）》（粤府办</w:t>
      </w:r>
      <w:r>
        <w:rPr>
          <w:rFonts w:hint="eastAsia" w:ascii="仿宋_GB2312" w:hAnsi="Times New Roman" w:eastAsia="仿宋_GB2312"/>
          <w:sz w:val="32"/>
          <w:szCs w:val="32"/>
        </w:rPr>
        <w:t>〔</w:t>
      </w:r>
      <w:r>
        <w:rPr>
          <w:rFonts w:hint="eastAsia" w:ascii="Times New Roman" w:hAnsi="Times New Roman" w:eastAsia="仿宋_GB2312"/>
          <w:sz w:val="32"/>
          <w:szCs w:val="32"/>
        </w:rPr>
        <w:t>2009</w:t>
      </w:r>
      <w:r>
        <w:rPr>
          <w:rFonts w:hint="eastAsia" w:ascii="仿宋_GB2312" w:hAnsi="Times New Roman" w:eastAsia="仿宋_GB2312"/>
          <w:sz w:val="32"/>
          <w:szCs w:val="32"/>
        </w:rPr>
        <w:t>〕</w:t>
      </w:r>
      <w:r>
        <w:rPr>
          <w:rFonts w:hint="eastAsia" w:ascii="Times New Roman" w:hAnsi="Times New Roman" w:eastAsia="仿宋_GB2312"/>
          <w:sz w:val="32"/>
          <w:szCs w:val="32"/>
        </w:rPr>
        <w:t>41号）、《广东省人民政府办公厅关于加强征收农村集休土地留用地安置管理工作的意见》（粤府办</w:t>
      </w:r>
      <w:r>
        <w:rPr>
          <w:rFonts w:hint="eastAsia" w:ascii="仿宋_GB2312" w:hAnsi="Times New Roman" w:eastAsia="仿宋_GB2312"/>
          <w:sz w:val="32"/>
          <w:szCs w:val="32"/>
        </w:rPr>
        <w:t>〔</w:t>
      </w:r>
      <w:r>
        <w:rPr>
          <w:rFonts w:hint="eastAsia" w:ascii="Times New Roman" w:hAnsi="Times New Roman" w:eastAsia="仿宋_GB2312"/>
          <w:sz w:val="32"/>
          <w:szCs w:val="32"/>
        </w:rPr>
        <w:t>2016</w:t>
      </w:r>
      <w:r>
        <w:rPr>
          <w:rFonts w:hint="eastAsia" w:ascii="仿宋_GB2312" w:hAnsi="Times New Roman" w:eastAsia="仿宋_GB2312"/>
          <w:sz w:val="32"/>
          <w:szCs w:val="32"/>
        </w:rPr>
        <w:t>〕</w:t>
      </w:r>
      <w:r>
        <w:rPr>
          <w:rFonts w:hint="eastAsia" w:ascii="Times New Roman" w:hAnsi="Times New Roman" w:eastAsia="仿宋_GB2312"/>
          <w:sz w:val="32"/>
          <w:szCs w:val="32"/>
        </w:rPr>
        <w:t>30号）的规定，按实际征收土地面积的15%安排留用地，留用地兑现方式为折算成货币补偿</w:t>
      </w:r>
      <w:r>
        <w:rPr>
          <w:rFonts w:hint="eastAsia" w:ascii="Times New Roman" w:hAnsi="Times New Roman" w:eastAsia="仿宋_GB2312"/>
          <w:sz w:val="32"/>
          <w:szCs w:val="32"/>
          <w:lang w:eastAsia="zh-CN"/>
        </w:rPr>
        <w:t>。</w:t>
      </w:r>
    </w:p>
    <w:p>
      <w:pPr>
        <w:numPr>
          <w:ilvl w:val="0"/>
          <w:numId w:val="1"/>
        </w:numPr>
        <w:spacing w:line="580" w:lineRule="exact"/>
        <w:ind w:firstLine="640" w:firstLineChars="200"/>
        <w:rPr>
          <w:rFonts w:ascii="Times New Roman" w:hAnsi="Times New Roman" w:eastAsia="仿宋_GB2312"/>
          <w:sz w:val="32"/>
          <w:szCs w:val="32"/>
        </w:rPr>
      </w:pPr>
      <w:r>
        <w:rPr>
          <w:rFonts w:hint="eastAsia" w:ascii="方正黑体简体" w:hAnsi="方正黑体简体" w:eastAsia="方正黑体简体" w:cs="方正黑体简体"/>
          <w:b w:val="0"/>
          <w:bCs w:val="0"/>
          <w:sz w:val="32"/>
          <w:szCs w:val="32"/>
        </w:rPr>
        <w:t>农业安置方案</w:t>
      </w:r>
      <w:r>
        <w:rPr>
          <w:rFonts w:hint="eastAsia" w:ascii="Times New Roman" w:hAnsi="Times New Roman" w:eastAsia="仿宋_GB2312"/>
          <w:b w:val="0"/>
          <w:bCs w:val="0"/>
          <w:sz w:val="32"/>
          <w:szCs w:val="32"/>
        </w:rPr>
        <w:t>：</w:t>
      </w:r>
      <w:r>
        <w:rPr>
          <w:rFonts w:hint="eastAsia" w:ascii="Times New Roman" w:hAnsi="Times New Roman" w:eastAsia="仿宋_GB2312"/>
          <w:sz w:val="32"/>
          <w:szCs w:val="32"/>
        </w:rPr>
        <w:t>被征地村（队）根据本村（队）实际情况，由集体经济组织内部对承包的土地自行调整安置。</w:t>
      </w:r>
    </w:p>
    <w:p>
      <w:pPr>
        <w:numPr>
          <w:ilvl w:val="0"/>
          <w:numId w:val="1"/>
        </w:numPr>
        <w:spacing w:line="580" w:lineRule="exact"/>
        <w:ind w:firstLine="640" w:firstLineChars="200"/>
        <w:rPr>
          <w:rFonts w:ascii="Times New Roman" w:hAnsi="Times New Roman" w:eastAsia="仿宋_GB2312"/>
          <w:sz w:val="32"/>
          <w:szCs w:val="32"/>
        </w:rPr>
      </w:pPr>
      <w:r>
        <w:rPr>
          <w:rFonts w:hint="eastAsia" w:ascii="方正黑体简体" w:hAnsi="方正黑体简体" w:eastAsia="方正黑体简体" w:cs="方正黑体简体"/>
          <w:b w:val="0"/>
          <w:bCs w:val="0"/>
          <w:sz w:val="32"/>
          <w:szCs w:val="32"/>
        </w:rPr>
        <w:t>社会保障安置：</w:t>
      </w:r>
      <w:r>
        <w:rPr>
          <w:rFonts w:hint="eastAsia" w:ascii="Times New Roman" w:hAnsi="Times New Roman" w:eastAsia="仿宋_GB2312"/>
          <w:sz w:val="32"/>
          <w:szCs w:val="32"/>
        </w:rPr>
        <w:t>参见《被征地农民养老保障方案》。</w:t>
      </w:r>
    </w:p>
    <w:p>
      <w:pPr>
        <w:widowControl w:val="0"/>
        <w:numPr>
          <w:ilvl w:val="0"/>
          <w:numId w:val="0"/>
        </w:numPr>
        <w:spacing w:line="580" w:lineRule="exact"/>
        <w:jc w:val="both"/>
        <w:rPr>
          <w:rFonts w:hint="eastAsia" w:ascii="Times New Roman" w:hAnsi="Times New Roman" w:eastAsia="仿宋_GB2312"/>
          <w:sz w:val="32"/>
          <w:szCs w:val="32"/>
        </w:rPr>
      </w:pPr>
    </w:p>
    <w:p>
      <w:pPr>
        <w:widowControl w:val="0"/>
        <w:numPr>
          <w:ilvl w:val="0"/>
          <w:numId w:val="0"/>
        </w:numPr>
        <w:spacing w:line="580" w:lineRule="exact"/>
        <w:jc w:val="both"/>
        <w:rPr>
          <w:rFonts w:hint="eastAsia" w:ascii="Times New Roman" w:hAnsi="Times New Roman" w:eastAsia="仿宋_GB2312"/>
          <w:sz w:val="32"/>
          <w:szCs w:val="32"/>
        </w:rPr>
      </w:pPr>
    </w:p>
    <w:p>
      <w:pPr>
        <w:widowControl w:val="0"/>
        <w:numPr>
          <w:ilvl w:val="0"/>
          <w:numId w:val="0"/>
        </w:numPr>
        <w:spacing w:line="580" w:lineRule="exact"/>
        <w:jc w:val="both"/>
        <w:rPr>
          <w:rFonts w:hint="eastAsia" w:ascii="Times New Roman" w:hAnsi="Times New Roman" w:eastAsia="仿宋_GB2312"/>
          <w:sz w:val="32"/>
          <w:szCs w:val="32"/>
        </w:rPr>
      </w:pPr>
    </w:p>
    <w:p>
      <w:pPr>
        <w:spacing w:line="580" w:lineRule="exact"/>
        <w:ind w:left="420" w:leftChars="200"/>
        <w:jc w:val="right"/>
        <w:rPr>
          <w:rFonts w:ascii="Times New Roman" w:hAnsi="Times New Roman" w:eastAsia="仿宋_GB2312"/>
          <w:sz w:val="32"/>
          <w:szCs w:val="32"/>
        </w:rPr>
      </w:pPr>
      <w:r>
        <w:rPr>
          <w:rFonts w:hint="eastAsia" w:ascii="Times New Roman" w:hAnsi="Times New Roman" w:eastAsia="仿宋_GB2312"/>
          <w:sz w:val="32"/>
          <w:szCs w:val="32"/>
        </w:rPr>
        <w:t>高州市自然资源局</w:t>
      </w:r>
    </w:p>
    <w:p>
      <w:pPr>
        <w:spacing w:line="580" w:lineRule="exact"/>
        <w:ind w:left="420" w:leftChars="200"/>
        <w:jc w:val="right"/>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年</w:t>
      </w:r>
      <w:r>
        <w:rPr>
          <w:rFonts w:hint="eastAsia" w:ascii="Times New Roman" w:hAnsi="Times New Roman" w:eastAsia="仿宋_GB2312"/>
          <w:sz w:val="32"/>
          <w:szCs w:val="32"/>
          <w:lang w:val="en-US" w:eastAsia="zh-CN"/>
        </w:rPr>
        <w:t>11</w:t>
      </w:r>
      <w:r>
        <w:rPr>
          <w:rFonts w:hint="eastAsia" w:ascii="Times New Roman" w:hAnsi="Times New Roman" w:eastAsia="仿宋_GB2312"/>
          <w:sz w:val="32"/>
          <w:szCs w:val="32"/>
        </w:rPr>
        <w:t>月</w:t>
      </w:r>
      <w:r>
        <w:rPr>
          <w:rFonts w:hint="eastAsia" w:ascii="Times New Roman" w:hAnsi="Times New Roman" w:eastAsia="仿宋_GB2312"/>
          <w:sz w:val="32"/>
          <w:szCs w:val="32"/>
          <w:lang w:val="en-US" w:eastAsia="zh-CN"/>
        </w:rPr>
        <w:t>26</w:t>
      </w:r>
      <w:r>
        <w:rPr>
          <w:rFonts w:hint="eastAsia" w:ascii="Times New Roman" w:hAnsi="Times New Roman" w:eastAsia="仿宋_GB2312"/>
          <w:sz w:val="32"/>
          <w:szCs w:val="32"/>
        </w:rPr>
        <w:t>日</w:t>
      </w:r>
    </w:p>
    <w:sectPr>
      <w:pgSz w:w="11906" w:h="16838"/>
      <w:pgMar w:top="1984" w:right="1531" w:bottom="1871"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SimSun-ExtB">
    <w:altName w:val="华文仿宋"/>
    <w:panose1 w:val="02010609060101010101"/>
    <w:charset w:val="86"/>
    <w:family w:val="auto"/>
    <w:pitch w:val="default"/>
    <w:sig w:usb0="00000000" w:usb1="00000000" w:usb2="00000000" w:usb3="00000000" w:csb0="00040001" w:csb1="00000000"/>
  </w:font>
  <w:font w:name="方正黑体简体">
    <w:altName w:val="方正黑体_GBK"/>
    <w:panose1 w:val="03000509000000000000"/>
    <w:charset w:val="86"/>
    <w:family w:val="auto"/>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华文仿宋">
    <w:panose1 w:val="02010600040101010101"/>
    <w:charset w:val="86"/>
    <w:family w:val="auto"/>
    <w:pitch w:val="default"/>
    <w:sig w:usb0="00000287" w:usb1="080F0000" w:usb2="00000000" w:usb3="00000000" w:csb0="0004009F" w:csb1="DFD7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78E6D65"/>
    <w:multiLevelType w:val="singleLevel"/>
    <w:tmpl w:val="278E6D65"/>
    <w:lvl w:ilvl="0" w:tentative="0">
      <w:start w:val="1"/>
      <w:numFmt w:val="chineseCounting"/>
      <w:suff w:val="nothing"/>
      <w:lvlText w:val="%1、"/>
      <w:lvlJc w:val="left"/>
      <w:rPr>
        <w:rFonts w:hint="eastAsia" w:ascii="方正黑体简体" w:hAnsi="方正黑体简体" w:eastAsia="方正黑体简体" w:cs="方正黑体简体"/>
        <w:b/>
        <w:bC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g5NzliNjY1YTczMmEwMGJhYWM2MmYwNGQ5OGQ3YjkifQ=="/>
  </w:docVars>
  <w:rsids>
    <w:rsidRoot w:val="00403E86"/>
    <w:rsid w:val="000B0BB2"/>
    <w:rsid w:val="00170A07"/>
    <w:rsid w:val="0017646F"/>
    <w:rsid w:val="001B0704"/>
    <w:rsid w:val="002271B0"/>
    <w:rsid w:val="002D4219"/>
    <w:rsid w:val="002E6064"/>
    <w:rsid w:val="00403E86"/>
    <w:rsid w:val="004236A3"/>
    <w:rsid w:val="0048757A"/>
    <w:rsid w:val="00513C58"/>
    <w:rsid w:val="0052618A"/>
    <w:rsid w:val="005B4A45"/>
    <w:rsid w:val="005F6769"/>
    <w:rsid w:val="00741B03"/>
    <w:rsid w:val="007F69FC"/>
    <w:rsid w:val="00956B30"/>
    <w:rsid w:val="00C0503E"/>
    <w:rsid w:val="00C45EB9"/>
    <w:rsid w:val="00DA7838"/>
    <w:rsid w:val="00E20930"/>
    <w:rsid w:val="00EB6590"/>
    <w:rsid w:val="00EF3A51"/>
    <w:rsid w:val="00F511F0"/>
    <w:rsid w:val="00F6337A"/>
    <w:rsid w:val="00F7540E"/>
    <w:rsid w:val="00FC673A"/>
    <w:rsid w:val="00FD38B7"/>
    <w:rsid w:val="02B5036D"/>
    <w:rsid w:val="040533F8"/>
    <w:rsid w:val="048310C3"/>
    <w:rsid w:val="09512C31"/>
    <w:rsid w:val="0AD67BFB"/>
    <w:rsid w:val="15CF6997"/>
    <w:rsid w:val="22EC7C42"/>
    <w:rsid w:val="262100F7"/>
    <w:rsid w:val="2C1300E8"/>
    <w:rsid w:val="2E3D31FA"/>
    <w:rsid w:val="33390A9C"/>
    <w:rsid w:val="3BB528DC"/>
    <w:rsid w:val="3C253519"/>
    <w:rsid w:val="57F5AB6F"/>
    <w:rsid w:val="5FE63ACA"/>
    <w:rsid w:val="75AE0D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szCs w:val="18"/>
    </w:rPr>
  </w:style>
  <w:style w:type="paragraph" w:styleId="3">
    <w:name w:val="header"/>
    <w:basedOn w:val="1"/>
    <w:link w:val="7"/>
    <w:qFormat/>
    <w:uiPriority w:val="0"/>
    <w:pPr>
      <w:tabs>
        <w:tab w:val="center" w:pos="4153"/>
        <w:tab w:val="right" w:pos="8306"/>
      </w:tabs>
      <w:snapToGrid w:val="0"/>
      <w:jc w:val="center"/>
    </w:pPr>
    <w:rPr>
      <w:sz w:val="18"/>
      <w:szCs w:val="18"/>
    </w:rPr>
  </w:style>
  <w:style w:type="character" w:styleId="6">
    <w:name w:val="Strong"/>
    <w:basedOn w:val="5"/>
    <w:qFormat/>
    <w:uiPriority w:val="0"/>
    <w:rPr>
      <w:rFonts w:ascii="Times New Roman" w:hAnsi="Times New Roman" w:eastAsia="宋体" w:cs="Times New Roman"/>
      <w:b/>
    </w:rPr>
  </w:style>
  <w:style w:type="character" w:customStyle="1" w:styleId="7">
    <w:name w:val="页眉 字符"/>
    <w:basedOn w:val="5"/>
    <w:link w:val="3"/>
    <w:qFormat/>
    <w:uiPriority w:val="0"/>
    <w:rPr>
      <w:rFonts w:ascii="Calibri" w:hAnsi="Calibri" w:eastAsia="宋体" w:cs="Times New Roman"/>
      <w:kern w:val="2"/>
      <w:sz w:val="18"/>
      <w:szCs w:val="18"/>
    </w:rPr>
  </w:style>
  <w:style w:type="character" w:customStyle="1" w:styleId="8">
    <w:name w:val="页脚 字符"/>
    <w:basedOn w:val="5"/>
    <w:link w:val="2"/>
    <w:qFormat/>
    <w:uiPriority w:val="0"/>
    <w:rPr>
      <w:rFonts w:ascii="Calibri" w:hAnsi="Calibri" w:eastAsia="宋体" w:cs="Times New Roman"/>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547</Words>
  <Characters>577</Characters>
  <Lines>3</Lines>
  <Paragraphs>1</Paragraphs>
  <TotalTime>11</TotalTime>
  <ScaleCrop>false</ScaleCrop>
  <LinksUpToDate>false</LinksUpToDate>
  <CharactersWithSpaces>581</CharactersWithSpaces>
  <Application>WPS Office_11.8.2.10229_F1E327BC-269C-435d-A152-05C5408002CA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2023-04-13T16:33:00Z</dcterms:created>
  <dc:creator>Admin</dc:creator>
  <cp:lastModifiedBy>kylin</cp:lastModifiedBy>
  <dcterms:modified xsi:type="dcterms:W3CDTF">2025-06-03T11:45:04Z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y fmtid="{D5CDD505-2E9C-101B-9397-08002B2CF9AE}" pid="3" name="ICV">
    <vt:lpwstr>BBDBE3F06DA44AA0946C514F7EE2B083_12</vt:lpwstr>
  </property>
  <property fmtid="{D5CDD505-2E9C-101B-9397-08002B2CF9AE}" pid="4" name="KSOTemplateDocerSaveRecord">
    <vt:lpwstr>eyJoZGlkIjoiMzg3MTc3NjRlOGY2ZjM1NGRkODEwNjAzM2VjYzQ0YzAiLCJ1c2VySWQiOiIzMTMxODIwMDQifQ==</vt:lpwstr>
  </property>
</Properties>
</file>