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val="0"/>
        <w:snapToGrid w:val="0"/>
        <w:spacing w:after="0"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附件</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ascii="Times New Roman" w:hAnsi="Times New Roman" w:eastAsia="仿宋_GB2312" w:cs="仿宋_GB2312"/>
          <w:sz w:val="32"/>
          <w:szCs w:val="32"/>
        </w:rPr>
      </w:pPr>
    </w:p>
    <w:p>
      <w:pPr>
        <w:keepNext w:val="0"/>
        <w:keepLines w:val="0"/>
        <w:pageBreakBefore w:val="0"/>
        <w:widowControl/>
        <w:kinsoku/>
        <w:wordWrap/>
        <w:overflowPunct/>
        <w:topLinePunct w:val="0"/>
        <w:autoSpaceDE/>
        <w:autoSpaceDN/>
        <w:bidi w:val="0"/>
        <w:adjustRightInd w:val="0"/>
        <w:snapToGrid w:val="0"/>
        <w:spacing w:after="0" w:line="7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val="0"/>
          <w:bCs w:val="0"/>
          <w:sz w:val="44"/>
          <w:szCs w:val="44"/>
        </w:rPr>
        <w:t>202</w:t>
      </w:r>
      <w:r>
        <w:rPr>
          <w:rFonts w:hint="default" w:ascii="方正小标宋简体" w:hAnsi="方正小标宋简体" w:eastAsia="方正小标宋简体" w:cs="方正小标宋简体"/>
          <w:b w:val="0"/>
          <w:bCs w:val="0"/>
          <w:sz w:val="44"/>
          <w:szCs w:val="44"/>
          <w:lang w:eastAsia="zh-CN"/>
        </w:rPr>
        <w:t>5</w:t>
      </w:r>
      <w:r>
        <w:rPr>
          <w:rFonts w:hint="eastAsia" w:ascii="方正小标宋简体" w:hAnsi="方正小标宋简体" w:eastAsia="方正小标宋简体" w:cs="方正小标宋简体"/>
          <w:sz w:val="44"/>
          <w:szCs w:val="44"/>
        </w:rPr>
        <w:t>年茂名市</w:t>
      </w:r>
      <w:r>
        <w:rPr>
          <w:rFonts w:hint="eastAsia" w:ascii="方正小标宋简体" w:hAnsi="方正小标宋简体" w:eastAsia="方正小标宋简体" w:cs="方正小标宋简体"/>
          <w:sz w:val="44"/>
          <w:szCs w:val="44"/>
          <w:lang w:eastAsia="zh-CN"/>
        </w:rPr>
        <w:t>科技</w:t>
      </w:r>
      <w:r>
        <w:rPr>
          <w:rFonts w:hint="default" w:ascii="方正小标宋简体" w:hAnsi="方正小标宋简体" w:eastAsia="方正小标宋简体" w:cs="方正小标宋简体"/>
          <w:sz w:val="44"/>
          <w:szCs w:val="44"/>
          <w:lang w:eastAsia="zh-CN"/>
        </w:rPr>
        <w:t>专项</w:t>
      </w:r>
      <w:r>
        <w:rPr>
          <w:rFonts w:hint="eastAsia" w:ascii="方正小标宋简体" w:hAnsi="方正小标宋简体" w:eastAsia="方正小标宋简体" w:cs="方正小标宋简体"/>
          <w:sz w:val="44"/>
          <w:szCs w:val="44"/>
          <w:lang w:eastAsia="zh-CN"/>
        </w:rPr>
        <w:t>资金</w:t>
      </w:r>
      <w:r>
        <w:rPr>
          <w:rFonts w:hint="eastAsia" w:ascii="方正小标宋简体" w:hAnsi="方正小标宋简体" w:eastAsia="方正小标宋简体" w:cs="方正小标宋简体"/>
          <w:sz w:val="44"/>
          <w:szCs w:val="44"/>
        </w:rPr>
        <w:t>项目</w:t>
      </w:r>
    </w:p>
    <w:p>
      <w:pPr>
        <w:keepNext w:val="0"/>
        <w:keepLines w:val="0"/>
        <w:pageBreakBefore w:val="0"/>
        <w:widowControl/>
        <w:kinsoku/>
        <w:wordWrap/>
        <w:overflowPunct/>
        <w:topLinePunct w:val="0"/>
        <w:autoSpaceDE/>
        <w:autoSpaceDN/>
        <w:bidi w:val="0"/>
        <w:adjustRightInd w:val="0"/>
        <w:snapToGrid w:val="0"/>
        <w:spacing w:after="0" w:line="720" w:lineRule="exact"/>
        <w:jc w:val="center"/>
        <w:textAlignment w:val="auto"/>
        <w:rPr>
          <w:rFonts w:hint="eastAsia" w:ascii="Times New Roman" w:hAnsi="Times New Roman"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申报指南</w:t>
      </w:r>
    </w:p>
    <w:p>
      <w:pPr>
        <w:rPr>
          <w:rFonts w:hint="eastAsia" w:ascii="黑体" w:hAnsi="黑体" w:eastAsia="黑体" w:cs="黑体"/>
          <w:sz w:val="10"/>
          <w:szCs w:val="10"/>
          <w:lang w:eastAsia="zh-CN"/>
        </w:rPr>
      </w:pPr>
    </w:p>
    <w:p>
      <w:pPr>
        <w:keepNext w:val="0"/>
        <w:keepLines w:val="0"/>
        <w:pageBreakBefore w:val="0"/>
        <w:kinsoku/>
        <w:wordWrap/>
        <w:overflowPunct/>
        <w:topLinePunct w:val="0"/>
        <w:autoSpaceDE/>
        <w:autoSpaceDN/>
        <w:bidi w:val="0"/>
        <w:adjustRightInd w:val="0"/>
        <w:snapToGrid w:val="0"/>
        <w:spacing w:line="580" w:lineRule="exact"/>
        <w:ind w:firstLine="640" w:firstLineChars="20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专项一、全社会研发投入统计能力提升专项</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jc w:val="left"/>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rPr>
        <w:t>专题</w:t>
      </w:r>
      <w:r>
        <w:rPr>
          <w:rFonts w:hint="eastAsia" w:ascii="楷体" w:hAnsi="楷体" w:eastAsia="楷体" w:cs="楷体"/>
          <w:b/>
          <w:bCs/>
          <w:sz w:val="32"/>
          <w:szCs w:val="32"/>
          <w:lang w:eastAsia="zh-CN"/>
        </w:rPr>
        <w:t>一</w:t>
      </w:r>
      <w:r>
        <w:rPr>
          <w:rFonts w:hint="eastAsia" w:ascii="楷体" w:hAnsi="楷体" w:eastAsia="楷体" w:cs="楷体"/>
          <w:b/>
          <w:bCs/>
          <w:sz w:val="32"/>
          <w:szCs w:val="32"/>
        </w:rPr>
        <w:t>（专题编号</w:t>
      </w:r>
      <w:r>
        <w:rPr>
          <w:rFonts w:hint="eastAsia" w:ascii="楷体" w:hAnsi="楷体" w:eastAsia="楷体" w:cs="楷体"/>
          <w:b/>
          <w:bCs/>
          <w:sz w:val="32"/>
          <w:szCs w:val="32"/>
          <w:lang w:eastAsia="zh-CN"/>
        </w:rPr>
        <w:t>：</w:t>
      </w:r>
      <w:r>
        <w:rPr>
          <w:rFonts w:hint="eastAsia" w:ascii="楷体" w:hAnsi="楷体" w:eastAsia="楷体" w:cs="楷体"/>
          <w:b/>
          <w:bCs/>
          <w:sz w:val="32"/>
          <w:szCs w:val="32"/>
        </w:rPr>
        <w:t>202</w:t>
      </w:r>
      <w:r>
        <w:rPr>
          <w:rFonts w:hint="default" w:ascii="楷体" w:hAnsi="楷体" w:eastAsia="楷体" w:cs="楷体"/>
          <w:b/>
          <w:bCs/>
          <w:sz w:val="32"/>
          <w:szCs w:val="32"/>
        </w:rPr>
        <w:t>5</w:t>
      </w:r>
      <w:r>
        <w:rPr>
          <w:rFonts w:hint="eastAsia" w:ascii="楷体" w:hAnsi="楷体" w:eastAsia="楷体" w:cs="楷体"/>
          <w:b/>
          <w:bCs/>
          <w:sz w:val="32"/>
          <w:szCs w:val="32"/>
        </w:rPr>
        <w:t>KJ</w:t>
      </w:r>
      <w:r>
        <w:rPr>
          <w:rFonts w:hint="default" w:ascii="楷体" w:hAnsi="楷体" w:eastAsia="楷体" w:cs="楷体"/>
          <w:b/>
          <w:bCs/>
          <w:sz w:val="32"/>
          <w:szCs w:val="32"/>
        </w:rPr>
        <w:t>ZX</w:t>
      </w:r>
      <w:r>
        <w:rPr>
          <w:rFonts w:hint="eastAsia" w:ascii="楷体" w:hAnsi="楷体" w:eastAsia="楷体" w:cs="楷体"/>
          <w:b/>
          <w:bCs/>
          <w:sz w:val="32"/>
          <w:szCs w:val="32"/>
        </w:rPr>
        <w:t>0</w:t>
      </w:r>
      <w:r>
        <w:rPr>
          <w:rFonts w:hint="eastAsia" w:ascii="楷体" w:hAnsi="楷体" w:eastAsia="楷体" w:cs="楷体"/>
          <w:b/>
          <w:bCs/>
          <w:sz w:val="32"/>
          <w:szCs w:val="32"/>
          <w:lang w:val="en-US" w:eastAsia="zh-CN"/>
        </w:rPr>
        <w:t>1</w:t>
      </w:r>
      <w:r>
        <w:rPr>
          <w:rFonts w:hint="eastAsia" w:ascii="楷体" w:hAnsi="楷体" w:eastAsia="楷体" w:cs="楷体"/>
          <w:b/>
          <w:bCs/>
          <w:sz w:val="32"/>
          <w:szCs w:val="32"/>
        </w:rPr>
        <w:t>）</w:t>
      </w:r>
      <w:r>
        <w:rPr>
          <w:rFonts w:hint="eastAsia" w:ascii="楷体" w:hAnsi="楷体" w:eastAsia="楷体" w:cs="楷体"/>
          <w:b/>
          <w:bCs/>
          <w:sz w:val="32"/>
          <w:szCs w:val="32"/>
          <w:lang w:val="en-US" w:eastAsia="zh-CN"/>
        </w:rPr>
        <w:t>全社会研发投入统计能力提升专题。</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jc w:val="left"/>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b/>
          <w:bCs/>
          <w:sz w:val="32"/>
          <w:szCs w:val="32"/>
        </w:rPr>
        <w:t>）支持方向</w:t>
      </w:r>
      <w:r>
        <w:rPr>
          <w:rFonts w:hint="eastAsia" w:ascii="Times New Roman" w:hAnsi="Times New Roman" w:eastAsia="仿宋_GB2312" w:cs="仿宋_GB2312"/>
          <w:b/>
          <w:bCs/>
          <w:sz w:val="32"/>
          <w:szCs w:val="32"/>
          <w:lang w:eastAsia="zh-CN"/>
        </w:rPr>
        <w:t>。</w:t>
      </w:r>
    </w:p>
    <w:p>
      <w:pPr>
        <w:pStyle w:val="6"/>
        <w:keepNext w:val="0"/>
        <w:keepLines w:val="0"/>
        <w:pageBreakBefore w:val="0"/>
        <w:kinsoku/>
        <w:wordWrap/>
        <w:overflowPunct/>
        <w:topLinePunct w:val="0"/>
        <w:autoSpaceDE/>
        <w:autoSpaceDN/>
        <w:bidi w:val="0"/>
        <w:adjustRightInd/>
        <w:snapToGrid/>
        <w:spacing w:line="600" w:lineRule="exact"/>
        <w:ind w:left="0" w:leftChars="0" w:firstLine="640"/>
        <w:jc w:val="left"/>
        <w:textAlignment w:val="auto"/>
        <w:rPr>
          <w:rFonts w:hint="default" w:ascii="Times New Roman" w:hAnsi="Times New Roman" w:eastAsia="仿宋_GB2312" w:cs="仿宋_GB2312"/>
          <w:b w:val="0"/>
          <w:bCs w:val="0"/>
          <w:sz w:val="32"/>
          <w:szCs w:val="32"/>
          <w:lang w:val="en" w:eastAsia="zh-CN" w:bidi="ar-SA"/>
        </w:rPr>
      </w:pPr>
      <w:r>
        <w:rPr>
          <w:rFonts w:hint="default" w:eastAsia="仿宋_GB2312" w:cs="仿宋_GB2312"/>
          <w:b w:val="0"/>
          <w:bCs w:val="0"/>
          <w:sz w:val="32"/>
          <w:szCs w:val="32"/>
          <w:lang w:eastAsia="zh-CN" w:bidi="ar-SA"/>
        </w:rPr>
        <w:t>主要</w:t>
      </w:r>
      <w:r>
        <w:rPr>
          <w:rFonts w:hint="eastAsia" w:eastAsia="仿宋_GB2312" w:cs="仿宋_GB2312"/>
          <w:b w:val="0"/>
          <w:bCs w:val="0"/>
          <w:sz w:val="32"/>
          <w:szCs w:val="32"/>
          <w:lang w:val="en-US" w:eastAsia="zh-CN" w:bidi="ar-SA"/>
        </w:rPr>
        <w:t>开展企业、高校、科研机构研发费用管理和税前加计扣除管理培训，指导规范做好研发费用管理等基础性工作，开展多渠道宣传活动，加强对研发投入统计政策和知识的宣传普及。</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jc w:val="left"/>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b/>
          <w:bCs/>
          <w:sz w:val="32"/>
          <w:szCs w:val="32"/>
        </w:rPr>
        <w:t>）申报要求</w:t>
      </w:r>
      <w:r>
        <w:rPr>
          <w:rFonts w:hint="eastAsia" w:ascii="Times New Roman" w:hAnsi="Times New Roman" w:eastAsia="仿宋_GB2312" w:cs="仿宋_GB2312"/>
          <w:b/>
          <w:bCs/>
          <w:sz w:val="32"/>
          <w:szCs w:val="32"/>
          <w:lang w:eastAsia="zh-CN"/>
        </w:rPr>
        <w:t>。</w:t>
      </w:r>
    </w:p>
    <w:p>
      <w:pPr>
        <w:pStyle w:val="6"/>
        <w:keepNext w:val="0"/>
        <w:keepLines w:val="0"/>
        <w:pageBreakBefore w:val="0"/>
        <w:widowControl/>
        <w:kinsoku/>
        <w:wordWrap/>
        <w:overflowPunct/>
        <w:topLinePunct w:val="0"/>
        <w:autoSpaceDE/>
        <w:autoSpaceDN/>
        <w:bidi w:val="0"/>
        <w:adjustRightInd/>
        <w:snapToGrid/>
        <w:spacing w:line="600" w:lineRule="exact"/>
        <w:ind w:left="0" w:leftChars="0" w:firstLine="640"/>
        <w:jc w:val="left"/>
        <w:textAlignment w:val="auto"/>
        <w:rPr>
          <w:rFonts w:hint="eastAsia" w:eastAsia="仿宋_GB2312" w:cs="仿宋_GB2312"/>
          <w:b w:val="0"/>
          <w:bCs w:val="0"/>
          <w:sz w:val="32"/>
          <w:szCs w:val="32"/>
          <w:lang w:val="en-US" w:eastAsia="zh-CN" w:bidi="ar-SA"/>
        </w:rPr>
      </w:pPr>
      <w:r>
        <w:rPr>
          <w:rFonts w:hint="eastAsia" w:eastAsia="仿宋_GB2312" w:cs="仿宋_GB2312"/>
          <w:b w:val="0"/>
          <w:bCs w:val="0"/>
          <w:sz w:val="32"/>
          <w:szCs w:val="32"/>
          <w:lang w:val="en-US" w:eastAsia="zh-CN" w:bidi="ar-SA"/>
        </w:rPr>
        <w:t>1.申报单位为茂名注册的企事业单位；</w:t>
      </w:r>
    </w:p>
    <w:p>
      <w:pPr>
        <w:pStyle w:val="6"/>
        <w:keepNext w:val="0"/>
        <w:keepLines w:val="0"/>
        <w:pageBreakBefore w:val="0"/>
        <w:widowControl/>
        <w:kinsoku/>
        <w:wordWrap/>
        <w:overflowPunct/>
        <w:topLinePunct w:val="0"/>
        <w:autoSpaceDE/>
        <w:autoSpaceDN/>
        <w:bidi w:val="0"/>
        <w:adjustRightInd/>
        <w:snapToGrid/>
        <w:spacing w:line="600" w:lineRule="exact"/>
        <w:ind w:left="0" w:leftChars="0" w:firstLine="640"/>
        <w:jc w:val="left"/>
        <w:textAlignment w:val="auto"/>
        <w:rPr>
          <w:rFonts w:hint="eastAsia" w:eastAsia="仿宋_GB2312" w:cs="仿宋_GB2312"/>
          <w:b w:val="0"/>
          <w:bCs w:val="0"/>
          <w:sz w:val="32"/>
          <w:szCs w:val="32"/>
          <w:lang w:val="en-US" w:eastAsia="zh-CN" w:bidi="ar-SA"/>
        </w:rPr>
      </w:pPr>
      <w:r>
        <w:rPr>
          <w:rFonts w:hint="eastAsia" w:eastAsia="仿宋_GB2312" w:cs="仿宋_GB2312"/>
          <w:b w:val="0"/>
          <w:bCs w:val="0"/>
          <w:sz w:val="32"/>
          <w:szCs w:val="32"/>
          <w:lang w:val="en-US" w:eastAsia="zh-CN" w:bidi="ar-SA"/>
        </w:rPr>
        <w:t>2.具有从事科技服务的职能，以及参与承办茂名全市企业、高校、科研机构研发费用管理和税前加计扣除管理培训性活动各1次以上的经验和条件；</w:t>
      </w:r>
    </w:p>
    <w:p>
      <w:pPr>
        <w:pStyle w:val="6"/>
        <w:keepNext w:val="0"/>
        <w:keepLines w:val="0"/>
        <w:pageBreakBefore w:val="0"/>
        <w:widowControl/>
        <w:kinsoku/>
        <w:wordWrap/>
        <w:overflowPunct/>
        <w:topLinePunct w:val="0"/>
        <w:autoSpaceDE/>
        <w:autoSpaceDN/>
        <w:bidi w:val="0"/>
        <w:adjustRightInd/>
        <w:snapToGrid/>
        <w:spacing w:line="600" w:lineRule="exact"/>
        <w:ind w:left="0" w:leftChars="0" w:firstLine="640"/>
        <w:jc w:val="left"/>
        <w:textAlignment w:val="auto"/>
        <w:rPr>
          <w:rFonts w:hint="eastAsia" w:eastAsia="仿宋_GB2312" w:cs="仿宋_GB2312"/>
          <w:b w:val="0"/>
          <w:bCs w:val="0"/>
          <w:sz w:val="32"/>
          <w:szCs w:val="32"/>
          <w:lang w:val="en-US" w:eastAsia="zh-CN" w:bidi="ar-SA"/>
        </w:rPr>
      </w:pPr>
      <w:r>
        <w:rPr>
          <w:rFonts w:hint="eastAsia" w:eastAsia="仿宋_GB2312" w:cs="仿宋_GB2312"/>
          <w:b w:val="0"/>
          <w:bCs w:val="0"/>
          <w:sz w:val="32"/>
          <w:szCs w:val="32"/>
          <w:lang w:val="en-US" w:eastAsia="zh-CN" w:bidi="ar-SA"/>
        </w:rPr>
        <w:t>3.具有科技咨询师5名（含）以上及2名会计师（含）以上；</w:t>
      </w:r>
    </w:p>
    <w:p>
      <w:pPr>
        <w:pStyle w:val="6"/>
        <w:keepNext w:val="0"/>
        <w:keepLines w:val="0"/>
        <w:pageBreakBefore w:val="0"/>
        <w:widowControl/>
        <w:kinsoku/>
        <w:wordWrap/>
        <w:overflowPunct/>
        <w:topLinePunct w:val="0"/>
        <w:autoSpaceDE/>
        <w:autoSpaceDN/>
        <w:bidi w:val="0"/>
        <w:adjustRightInd/>
        <w:snapToGrid/>
        <w:spacing w:line="600" w:lineRule="exact"/>
        <w:ind w:left="0" w:leftChars="0" w:firstLine="640"/>
        <w:jc w:val="left"/>
        <w:textAlignment w:val="auto"/>
        <w:rPr>
          <w:rFonts w:hint="eastAsia" w:eastAsia="仿宋_GB2312" w:cs="仿宋_GB2312"/>
          <w:b w:val="0"/>
          <w:bCs w:val="0"/>
          <w:sz w:val="32"/>
          <w:szCs w:val="32"/>
          <w:lang w:val="en-US" w:eastAsia="zh-CN" w:bidi="ar-SA"/>
        </w:rPr>
      </w:pPr>
      <w:r>
        <w:rPr>
          <w:rFonts w:hint="eastAsia" w:eastAsia="仿宋_GB2312" w:cs="仿宋_GB2312"/>
          <w:b w:val="0"/>
          <w:bCs w:val="0"/>
          <w:sz w:val="32"/>
          <w:szCs w:val="32"/>
          <w:lang w:val="en-US" w:eastAsia="zh-CN" w:bidi="ar-SA"/>
        </w:rPr>
        <w:t>4.以上条件须同时具备。</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jc w:val="left"/>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三</w:t>
      </w:r>
      <w:r>
        <w:rPr>
          <w:rFonts w:hint="eastAsia" w:ascii="Times New Roman" w:hAnsi="Times New Roman" w:eastAsia="仿宋_GB2312" w:cs="仿宋_GB2312"/>
          <w:b/>
          <w:bCs/>
          <w:sz w:val="32"/>
          <w:szCs w:val="32"/>
        </w:rPr>
        <w:t>）绩效目标</w:t>
      </w:r>
      <w:r>
        <w:rPr>
          <w:rFonts w:hint="eastAsia" w:ascii="Times New Roman" w:hAnsi="Times New Roman" w:eastAsia="仿宋_GB2312" w:cs="仿宋_GB2312"/>
          <w:b/>
          <w:bCs/>
          <w:sz w:val="32"/>
          <w:szCs w:val="32"/>
          <w:lang w:eastAsia="zh-CN"/>
        </w:rPr>
        <w:t>。</w:t>
      </w:r>
    </w:p>
    <w:p>
      <w:pPr>
        <w:pStyle w:val="6"/>
        <w:keepNext w:val="0"/>
        <w:keepLines w:val="0"/>
        <w:pageBreakBefore w:val="0"/>
        <w:kinsoku/>
        <w:wordWrap/>
        <w:overflowPunct/>
        <w:topLinePunct w:val="0"/>
        <w:autoSpaceDE/>
        <w:autoSpaceDN/>
        <w:bidi w:val="0"/>
        <w:adjustRightInd/>
        <w:snapToGrid/>
        <w:spacing w:line="600" w:lineRule="exact"/>
        <w:ind w:left="0" w:leftChars="0" w:firstLine="640"/>
        <w:jc w:val="left"/>
        <w:textAlignment w:val="auto"/>
        <w:rPr>
          <w:rFonts w:hint="default" w:eastAsia="仿宋_GB2312" w:cs="仿宋_GB2312"/>
          <w:b w:val="0"/>
          <w:bCs w:val="0"/>
          <w:sz w:val="32"/>
          <w:szCs w:val="32"/>
          <w:lang w:val="en" w:eastAsia="zh-CN" w:bidi="ar-SA"/>
        </w:rPr>
      </w:pPr>
      <w:r>
        <w:rPr>
          <w:rFonts w:hint="eastAsia" w:eastAsia="仿宋_GB2312" w:cs="仿宋_GB2312"/>
          <w:b w:val="0"/>
          <w:bCs w:val="0"/>
          <w:sz w:val="32"/>
          <w:szCs w:val="32"/>
          <w:lang w:val="en-US" w:eastAsia="zh-CN" w:bidi="ar-SA"/>
        </w:rPr>
        <w:t>通过准确统计研发投入，反映企业在技术创新方面投入力度，了解企业的创新能力和发展潜力。为企业战略决策提供数据支持，评估研发项目的可行性和效益，合理配置资源；持续的研发投入和有效的统计分析，有助于企业不断推出新产品、新技术，从而增强市场竞争力。通过立项积极与企业对接辅导并争取我市企业研发投入得到进一步提升。</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jc w:val="left"/>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（四）支持强度与支持方式</w:t>
      </w:r>
      <w:r>
        <w:rPr>
          <w:rFonts w:hint="eastAsia" w:ascii="Times New Roman" w:hAnsi="Times New Roman"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支持</w:t>
      </w: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rPr>
        <w:t>项，</w:t>
      </w:r>
      <w:r>
        <w:rPr>
          <w:rFonts w:hint="default" w:ascii="Times New Roman" w:hAnsi="Times New Roman" w:eastAsia="仿宋_GB2312" w:cs="仿宋_GB2312"/>
          <w:sz w:val="32"/>
          <w:szCs w:val="32"/>
          <w:lang w:eastAsia="zh-CN"/>
        </w:rPr>
        <w:t>3</w:t>
      </w:r>
      <w:r>
        <w:rPr>
          <w:rFonts w:hint="eastAsia" w:ascii="Times New Roman" w:hAnsi="Times New Roman" w:eastAsia="仿宋_GB2312" w:cs="仿宋_GB2312"/>
          <w:sz w:val="32"/>
          <w:szCs w:val="32"/>
          <w:lang w:val="en-US" w:eastAsia="zh-CN"/>
        </w:rPr>
        <w:t>0</w:t>
      </w:r>
      <w:r>
        <w:rPr>
          <w:rFonts w:hint="eastAsia" w:ascii="Times New Roman" w:hAnsi="Times New Roman" w:eastAsia="仿宋_GB2312" w:cs="仿宋_GB2312"/>
          <w:sz w:val="32"/>
          <w:szCs w:val="32"/>
        </w:rPr>
        <w:t>万元／项</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事前立项无偿资助。</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left"/>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联系人：</w:t>
      </w:r>
      <w:r>
        <w:rPr>
          <w:rFonts w:hint="default" w:ascii="Times New Roman" w:hAnsi="Times New Roman" w:eastAsia="仿宋_GB2312" w:cs="仿宋_GB2312"/>
          <w:b w:val="0"/>
          <w:bCs w:val="0"/>
          <w:sz w:val="32"/>
          <w:szCs w:val="32"/>
          <w:lang w:eastAsia="zh-CN"/>
        </w:rPr>
        <w:t>梁旭野</w:t>
      </w:r>
      <w:r>
        <w:rPr>
          <w:rFonts w:hint="eastAsia" w:ascii="Times New Roman" w:hAnsi="Times New Roman" w:eastAsia="仿宋_GB2312" w:cs="仿宋_GB2312"/>
          <w:b w:val="0"/>
          <w:bCs w:val="0"/>
          <w:sz w:val="32"/>
          <w:szCs w:val="32"/>
          <w:lang w:val="en-US" w:eastAsia="zh-CN"/>
        </w:rPr>
        <w:t xml:space="preserve">   联系电话：28</w:t>
      </w:r>
      <w:r>
        <w:rPr>
          <w:rFonts w:hint="default" w:ascii="Times New Roman" w:hAnsi="Times New Roman" w:eastAsia="仿宋_GB2312" w:cs="仿宋_GB2312"/>
          <w:b w:val="0"/>
          <w:bCs w:val="0"/>
          <w:sz w:val="32"/>
          <w:szCs w:val="32"/>
          <w:lang w:eastAsia="zh-CN"/>
        </w:rPr>
        <w:t>69682</w:t>
      </w:r>
      <w:r>
        <w:rPr>
          <w:rFonts w:hint="eastAsia" w:ascii="Times New Roman" w:hAnsi="Times New Roman" w:eastAsia="仿宋_GB2312" w:cs="仿宋_GB2312"/>
          <w:b w:val="0"/>
          <w:bCs w:val="0"/>
          <w:sz w:val="32"/>
          <w:szCs w:val="32"/>
          <w:lang w:val="en-US" w:eastAsia="zh-CN"/>
        </w:rPr>
        <w:t xml:space="preserve"> </w:t>
      </w:r>
    </w:p>
    <w:p>
      <w:pPr>
        <w:rPr>
          <w:rFonts w:hint="eastAsia" w:ascii="黑体" w:hAnsi="黑体" w:eastAsia="黑体" w:cs="黑体"/>
          <w:sz w:val="10"/>
          <w:szCs w:val="10"/>
          <w:lang w:eastAsia="zh-CN"/>
        </w:rPr>
      </w:pPr>
    </w:p>
    <w:p>
      <w:pPr>
        <w:keepNext w:val="0"/>
        <w:keepLines w:val="0"/>
        <w:pageBreakBefore w:val="0"/>
        <w:kinsoku/>
        <w:wordWrap/>
        <w:overflowPunct/>
        <w:topLinePunct w:val="0"/>
        <w:autoSpaceDE/>
        <w:autoSpaceDN/>
        <w:bidi w:val="0"/>
        <w:adjustRightInd w:val="0"/>
        <w:snapToGrid w:val="0"/>
        <w:spacing w:line="580" w:lineRule="exact"/>
        <w:ind w:firstLine="640" w:firstLineChars="20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eastAsia="zh-CN"/>
        </w:rPr>
        <w:t>专项</w:t>
      </w:r>
      <w:r>
        <w:rPr>
          <w:rFonts w:hint="default" w:ascii="黑体" w:hAnsi="黑体" w:eastAsia="黑体" w:cs="黑体"/>
          <w:b w:val="0"/>
          <w:bCs w:val="0"/>
          <w:sz w:val="32"/>
          <w:szCs w:val="32"/>
          <w:lang w:eastAsia="zh-CN"/>
        </w:rPr>
        <w:t>二</w:t>
      </w: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lang w:val="en-US" w:eastAsia="zh-CN"/>
        </w:rPr>
        <w:t>基础与应用基础研究科技创新专项</w:t>
      </w:r>
    </w:p>
    <w:p>
      <w:pPr>
        <w:keepNext w:val="0"/>
        <w:keepLines w:val="0"/>
        <w:pageBreakBefore w:val="0"/>
        <w:kinsoku/>
        <w:wordWrap/>
        <w:overflowPunct/>
        <w:topLinePunct w:val="0"/>
        <w:autoSpaceDE/>
        <w:autoSpaceDN/>
        <w:bidi w:val="0"/>
        <w:adjustRightInd w:val="0"/>
        <w:snapToGrid w:val="0"/>
        <w:spacing w:line="600" w:lineRule="exact"/>
        <w:ind w:firstLine="642" w:firstLineChars="200"/>
        <w:textAlignment w:val="auto"/>
        <w:rPr>
          <w:rFonts w:hint="eastAsia" w:ascii="楷体" w:hAnsi="楷体" w:eastAsia="楷体" w:cs="楷体"/>
          <w:b/>
          <w:bCs/>
          <w:color w:val="auto"/>
          <w:sz w:val="32"/>
          <w:szCs w:val="32"/>
          <w:lang w:eastAsia="zh-CN"/>
        </w:rPr>
      </w:pPr>
      <w:r>
        <w:rPr>
          <w:rFonts w:hint="eastAsia" w:ascii="楷体" w:hAnsi="楷体" w:eastAsia="楷体" w:cs="楷体"/>
          <w:b/>
          <w:bCs/>
          <w:color w:val="auto"/>
          <w:sz w:val="32"/>
          <w:szCs w:val="32"/>
        </w:rPr>
        <w:t>专题</w:t>
      </w:r>
      <w:r>
        <w:rPr>
          <w:rFonts w:hint="eastAsia" w:ascii="楷体" w:hAnsi="楷体" w:eastAsia="楷体" w:cs="楷体"/>
          <w:b/>
          <w:bCs/>
          <w:color w:val="auto"/>
          <w:sz w:val="32"/>
          <w:szCs w:val="32"/>
          <w:lang w:eastAsia="zh-CN"/>
        </w:rPr>
        <w:t>二</w:t>
      </w:r>
      <w:r>
        <w:rPr>
          <w:rFonts w:hint="eastAsia" w:ascii="楷体" w:hAnsi="楷体" w:eastAsia="楷体" w:cs="楷体"/>
          <w:b/>
          <w:bCs/>
          <w:color w:val="auto"/>
          <w:sz w:val="32"/>
          <w:szCs w:val="32"/>
        </w:rPr>
        <w:t>（专题编号</w:t>
      </w: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rPr>
        <w:t>2025KJ</w:t>
      </w:r>
      <w:r>
        <w:rPr>
          <w:rFonts w:hint="eastAsia" w:ascii="楷体" w:hAnsi="楷体" w:eastAsia="楷体" w:cs="楷体"/>
          <w:b/>
          <w:bCs/>
          <w:color w:val="auto"/>
          <w:sz w:val="32"/>
          <w:szCs w:val="32"/>
          <w:lang w:val="en"/>
        </w:rPr>
        <w:t>Z</w:t>
      </w:r>
      <w:r>
        <w:rPr>
          <w:rFonts w:hint="eastAsia" w:ascii="楷体" w:hAnsi="楷体" w:eastAsia="楷体" w:cs="楷体"/>
          <w:b/>
          <w:bCs/>
          <w:color w:val="auto"/>
          <w:sz w:val="32"/>
          <w:szCs w:val="32"/>
        </w:rPr>
        <w:t>X02）茂名实验室转型省重点实验室专题</w:t>
      </w:r>
      <w:r>
        <w:rPr>
          <w:rFonts w:hint="eastAsia" w:ascii="楷体" w:hAnsi="楷体" w:eastAsia="楷体" w:cs="楷体"/>
          <w:b/>
          <w:bCs/>
          <w:color w:val="auto"/>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textAlignment w:val="auto"/>
        <w:rPr>
          <w:rFonts w:ascii="Times New Roman" w:hAnsi="Times New Roman" w:eastAsia="仿宋_GB2312" w:cs="仿宋_GB2312"/>
          <w:b/>
          <w:bCs/>
          <w:color w:val="auto"/>
          <w:sz w:val="32"/>
          <w:szCs w:val="32"/>
        </w:rPr>
      </w:pPr>
      <w:r>
        <w:rPr>
          <w:rFonts w:hint="eastAsia" w:ascii="Times New Roman" w:hAnsi="Times New Roman" w:eastAsia="仿宋_GB2312" w:cs="仿宋_GB2312"/>
          <w:b/>
          <w:bCs/>
          <w:color w:val="auto"/>
          <w:sz w:val="32"/>
          <w:szCs w:val="32"/>
        </w:rPr>
        <w:t>（一）支持方向。</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贯彻落实市委、市政府支持地方高校科研创新</w:t>
      </w:r>
      <w:r>
        <w:rPr>
          <w:rFonts w:hint="eastAsia" w:ascii="仿宋_GB2312" w:hAnsi="仿宋_GB2312" w:eastAsia="仿宋_GB2312" w:cs="仿宋_GB2312"/>
          <w:color w:val="auto"/>
          <w:sz w:val="32"/>
          <w:szCs w:val="32"/>
          <w:lang w:eastAsia="zh-CN"/>
        </w:rPr>
        <w:t>和</w:t>
      </w:r>
      <w:r>
        <w:rPr>
          <w:rFonts w:hint="eastAsia" w:ascii="仿宋_GB2312" w:hAnsi="仿宋_GB2312" w:eastAsia="仿宋_GB2312" w:cs="仿宋_GB2312"/>
          <w:color w:val="auto"/>
          <w:sz w:val="32"/>
          <w:szCs w:val="32"/>
        </w:rPr>
        <w:t>省实验室</w:t>
      </w:r>
      <w:r>
        <w:rPr>
          <w:rFonts w:hint="eastAsia" w:ascii="仿宋_GB2312" w:hAnsi="仿宋_GB2312" w:eastAsia="仿宋_GB2312" w:cs="仿宋_GB2312"/>
          <w:color w:val="auto"/>
          <w:sz w:val="32"/>
          <w:szCs w:val="32"/>
          <w:lang w:eastAsia="zh-CN"/>
        </w:rPr>
        <w:t>移交</w:t>
      </w:r>
      <w:r>
        <w:rPr>
          <w:rFonts w:hint="eastAsia" w:ascii="仿宋_GB2312" w:hAnsi="仿宋_GB2312" w:eastAsia="仿宋_GB2312" w:cs="仿宋_GB2312"/>
          <w:color w:val="auto"/>
          <w:sz w:val="32"/>
          <w:szCs w:val="32"/>
        </w:rPr>
        <w:t>转型工作部署，重点围绕茂名实验室转型</w:t>
      </w:r>
      <w:r>
        <w:rPr>
          <w:rFonts w:hint="eastAsia" w:ascii="仿宋_GB2312" w:hAnsi="仿宋_GB2312" w:eastAsia="仿宋_GB2312" w:cs="仿宋_GB2312"/>
          <w:color w:val="auto"/>
          <w:sz w:val="32"/>
          <w:szCs w:val="32"/>
          <w:lang w:eastAsia="zh-CN"/>
        </w:rPr>
        <w:t>后的</w:t>
      </w:r>
      <w:r>
        <w:rPr>
          <w:rFonts w:hint="eastAsia" w:ascii="仿宋_GB2312" w:hAnsi="仿宋_GB2312" w:eastAsia="仿宋_GB2312" w:cs="仿宋_GB2312"/>
          <w:color w:val="auto"/>
          <w:sz w:val="32"/>
          <w:szCs w:val="32"/>
        </w:rPr>
        <w:t>以下5个研究方向，</w:t>
      </w:r>
      <w:r>
        <w:rPr>
          <w:rFonts w:hint="eastAsia" w:ascii="仿宋_GB2312" w:hAnsi="仿宋_GB2312" w:eastAsia="仿宋_GB2312" w:cs="仿宋_GB2312"/>
          <w:sz w:val="32"/>
          <w:szCs w:val="32"/>
          <w:lang w:eastAsia="zh-CN"/>
        </w:rPr>
        <w:t>通过</w:t>
      </w:r>
      <w:r>
        <w:rPr>
          <w:rFonts w:hint="eastAsia" w:ascii="仿宋_GB2312" w:hAnsi="仿宋_GB2312" w:eastAsia="仿宋_GB2312" w:cs="仿宋_GB2312"/>
          <w:color w:val="auto"/>
          <w:sz w:val="32"/>
          <w:szCs w:val="32"/>
          <w:lang w:val="en-US" w:eastAsia="zh-CN"/>
        </w:rPr>
        <w:t>基础与应用基础研究、</w:t>
      </w:r>
      <w:r>
        <w:rPr>
          <w:rFonts w:hint="eastAsia" w:ascii="仿宋_GB2312" w:hAnsi="仿宋_GB2312" w:eastAsia="仿宋_GB2312" w:cs="仿宋_GB2312"/>
          <w:color w:val="auto"/>
          <w:sz w:val="32"/>
          <w:szCs w:val="32"/>
        </w:rPr>
        <w:t>技术攻关</w:t>
      </w:r>
      <w:r>
        <w:rPr>
          <w:rFonts w:hint="eastAsia" w:ascii="仿宋_GB2312" w:hAnsi="仿宋_GB2312" w:eastAsia="仿宋_GB2312" w:cs="仿宋_GB2312"/>
          <w:color w:val="auto"/>
          <w:sz w:val="32"/>
          <w:szCs w:val="32"/>
          <w:lang w:eastAsia="zh-CN"/>
        </w:rPr>
        <w:t>，实现一批科技</w:t>
      </w:r>
      <w:r>
        <w:rPr>
          <w:rFonts w:hint="eastAsia" w:ascii="仿宋_GB2312" w:hAnsi="仿宋_GB2312" w:eastAsia="仿宋_GB2312" w:cs="仿宋_GB2312"/>
          <w:color w:val="auto"/>
          <w:sz w:val="32"/>
          <w:szCs w:val="32"/>
        </w:rPr>
        <w:t>成果转化</w:t>
      </w:r>
      <w:r>
        <w:rPr>
          <w:rFonts w:hint="eastAsia" w:ascii="仿宋_GB2312" w:hAnsi="仿宋_GB2312" w:eastAsia="仿宋_GB2312" w:cs="仿宋_GB2312"/>
          <w:color w:val="auto"/>
          <w:sz w:val="32"/>
          <w:szCs w:val="32"/>
          <w:lang w:eastAsia="zh-CN"/>
        </w:rPr>
        <w:t>。</w:t>
      </w:r>
    </w:p>
    <w:p>
      <w:pPr>
        <w:keepNext w:val="0"/>
        <w:keepLines w:val="0"/>
        <w:pageBreakBefore w:val="0"/>
        <w:widowControl w:val="0"/>
        <w:numPr>
          <w:ilvl w:val="0"/>
          <w:numId w:val="1"/>
        </w:numPr>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农产品安全生产技术重点专项：开展农产品安全生产及便携式农产品安全检测技术和装备</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基础与应用基础研究</w:t>
      </w:r>
      <w:r>
        <w:rPr>
          <w:rFonts w:hint="eastAsia" w:ascii="仿宋_GB2312" w:hAnsi="仿宋_GB2312" w:eastAsia="仿宋_GB2312" w:cs="仿宋_GB2312"/>
          <w:color w:val="auto"/>
          <w:sz w:val="32"/>
          <w:szCs w:val="32"/>
          <w:lang w:eastAsia="zh-CN"/>
        </w:rPr>
        <w:t>及技术攻关（</w:t>
      </w:r>
      <w:r>
        <w:rPr>
          <w:rFonts w:hint="eastAsia" w:ascii="仿宋_GB2312" w:hAnsi="仿宋_GB2312" w:eastAsia="仿宋_GB2312" w:cs="仿宋_GB2312"/>
          <w:color w:val="auto"/>
          <w:sz w:val="32"/>
          <w:szCs w:val="32"/>
        </w:rPr>
        <w:t>重点项目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2．粤西特色农产品种质资源创新与利用：开展基础与应用基础研究</w:t>
      </w:r>
      <w:r>
        <w:rPr>
          <w:rFonts w:hint="eastAsia" w:ascii="仿宋_GB2312" w:hAnsi="仿宋_GB2312" w:eastAsia="仿宋_GB2312" w:cs="仿宋_GB2312"/>
          <w:color w:val="auto"/>
          <w:sz w:val="32"/>
          <w:szCs w:val="32"/>
          <w:lang w:eastAsia="zh-CN"/>
        </w:rPr>
        <w:t>及</w:t>
      </w:r>
      <w:r>
        <w:rPr>
          <w:rFonts w:hint="eastAsia" w:ascii="仿宋_GB2312" w:hAnsi="仿宋_GB2312" w:eastAsia="仿宋_GB2312" w:cs="仿宋_GB2312"/>
          <w:color w:val="auto"/>
          <w:sz w:val="32"/>
          <w:szCs w:val="32"/>
        </w:rPr>
        <w:t>关键技术研究与示范，建立相关技术规程等</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一般项目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 xml:space="preserve"> 。</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3．农产品绿色保鲜技术开发与应用：开展基础与应用基础研究</w:t>
      </w:r>
      <w:r>
        <w:rPr>
          <w:rFonts w:hint="eastAsia" w:ascii="仿宋_GB2312" w:hAnsi="仿宋_GB2312" w:eastAsia="仿宋_GB2312" w:cs="仿宋_GB2312"/>
          <w:color w:val="auto"/>
          <w:sz w:val="32"/>
          <w:szCs w:val="32"/>
          <w:lang w:eastAsia="zh-CN"/>
        </w:rPr>
        <w:t>及技术攻关，</w:t>
      </w:r>
      <w:r>
        <w:rPr>
          <w:rFonts w:hint="eastAsia" w:ascii="仿宋_GB2312" w:hAnsi="仿宋_GB2312" w:eastAsia="仿宋_GB2312" w:cs="仿宋_GB2312"/>
          <w:color w:val="auto"/>
          <w:sz w:val="32"/>
          <w:szCs w:val="32"/>
        </w:rPr>
        <w:t>建立开发粤西特色果蔬的保鲜技术方法并实现成果转化应用等</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一般项目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4．农产品精深加工与质量安全：开展基础与应用基础研究</w:t>
      </w:r>
      <w:r>
        <w:rPr>
          <w:rFonts w:hint="eastAsia" w:ascii="仿宋_GB2312" w:hAnsi="仿宋_GB2312" w:eastAsia="仿宋_GB2312" w:cs="仿宋_GB2312"/>
          <w:color w:val="auto"/>
          <w:sz w:val="32"/>
          <w:szCs w:val="32"/>
          <w:lang w:eastAsia="zh-CN"/>
        </w:rPr>
        <w:t>及技术攻关，实施</w:t>
      </w:r>
      <w:r>
        <w:rPr>
          <w:rFonts w:hint="eastAsia" w:ascii="仿宋_GB2312" w:hAnsi="仿宋_GB2312" w:eastAsia="仿宋_GB2312" w:cs="仿宋_GB2312"/>
          <w:color w:val="auto"/>
          <w:sz w:val="32"/>
          <w:szCs w:val="32"/>
        </w:rPr>
        <w:t>粤西特色果蔬的精深加工、综合利用和质量安全评估等</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一般项目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5．农业智能装备与技术：开展基础与应用基础研究</w:t>
      </w:r>
      <w:r>
        <w:rPr>
          <w:rFonts w:hint="eastAsia" w:ascii="仿宋_GB2312" w:hAnsi="仿宋_GB2312" w:eastAsia="仿宋_GB2312" w:cs="仿宋_GB2312"/>
          <w:color w:val="auto"/>
          <w:sz w:val="32"/>
          <w:szCs w:val="32"/>
          <w:lang w:eastAsia="zh-CN"/>
        </w:rPr>
        <w:t>及技术攻关，</w:t>
      </w:r>
      <w:r>
        <w:rPr>
          <w:rFonts w:hint="eastAsia" w:ascii="仿宋_GB2312" w:hAnsi="仿宋_GB2312" w:eastAsia="仿宋_GB2312" w:cs="仿宋_GB2312"/>
          <w:color w:val="auto"/>
          <w:sz w:val="32"/>
          <w:szCs w:val="32"/>
        </w:rPr>
        <w:t>着重解决荔枝、龙眼等智能采收和剥壳去核技术以及智慧植保等难题</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一般项目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（二）申报要求。</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1. </w:t>
      </w:r>
      <w:r>
        <w:rPr>
          <w:rFonts w:hint="eastAsia" w:ascii="仿宋_GB2312" w:hAnsi="仿宋_GB2312" w:eastAsia="仿宋_GB2312" w:cs="仿宋_GB2312"/>
          <w:color w:val="auto"/>
          <w:sz w:val="32"/>
          <w:szCs w:val="32"/>
          <w:lang w:eastAsia="zh-CN"/>
        </w:rPr>
        <w:t>申报单位为茂名实验室转型移交的本地高校广东石油化工学院，</w:t>
      </w:r>
      <w:r>
        <w:rPr>
          <w:rFonts w:hint="eastAsia" w:ascii="仿宋_GB2312" w:hAnsi="仿宋_GB2312" w:eastAsia="仿宋_GB2312" w:cs="仿宋_GB2312"/>
          <w:color w:val="auto"/>
          <w:sz w:val="32"/>
          <w:szCs w:val="32"/>
        </w:rPr>
        <w:t>项目负责人原则上是茂名实验室转型后广东省农产品绿色生产与农业智能装备重点实验室的成员，具有副高级及以上职称或博士学位；</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 项目实施期限原则上不超过2年。</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（三）绩效目标。</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项目成果形式包括论文、论著、专利、新产品、技术标准、软件著作权、新装备、新工艺、成果转化、省部级、全国行业协会及以上科技奖励等为主。</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每个</w:t>
      </w:r>
      <w:r>
        <w:rPr>
          <w:rFonts w:hint="eastAsia" w:ascii="仿宋_GB2312" w:hAnsi="仿宋_GB2312" w:eastAsia="仿宋_GB2312" w:cs="仿宋_GB2312"/>
          <w:color w:val="auto"/>
          <w:sz w:val="32"/>
          <w:szCs w:val="32"/>
        </w:rPr>
        <w:t>项目负责人或主要成员以第一作者或通讯作者身份发表与项目相关的SCI或中文核心论文≥12篇</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重点项目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6篇</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一般项目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；申请或获授权国家发明专利≥12</w:t>
      </w:r>
      <w:r>
        <w:rPr>
          <w:rFonts w:hint="eastAsia" w:ascii="仿宋_GB2312" w:hAnsi="仿宋_GB2312" w:eastAsia="仿宋_GB2312" w:cs="仿宋_GB2312"/>
          <w:color w:val="auto"/>
          <w:sz w:val="32"/>
          <w:szCs w:val="32"/>
          <w:lang w:val="en-US" w:eastAsia="zh-CN"/>
        </w:rPr>
        <w:t>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重点项目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6</w:t>
      </w:r>
      <w:r>
        <w:rPr>
          <w:rFonts w:hint="eastAsia" w:ascii="仿宋_GB2312" w:hAnsi="仿宋_GB2312" w:eastAsia="仿宋_GB2312" w:cs="仿宋_GB2312"/>
          <w:color w:val="auto"/>
          <w:sz w:val="32"/>
          <w:szCs w:val="32"/>
          <w:lang w:val="en-US" w:eastAsia="zh-CN"/>
        </w:rPr>
        <w:t>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一般项目</w:t>
      </w:r>
      <w:r>
        <w:rPr>
          <w:rFonts w:hint="eastAsia" w:ascii="仿宋_GB2312" w:hAnsi="仿宋_GB2312" w:eastAsia="仿宋_GB2312" w:cs="仿宋_GB2312"/>
          <w:color w:val="auto"/>
          <w:sz w:val="32"/>
          <w:szCs w:val="32"/>
          <w:lang w:eastAsia="zh-CN"/>
        </w:rPr>
        <w:t>）和</w:t>
      </w:r>
      <w:r>
        <w:rPr>
          <w:rFonts w:hint="eastAsia" w:ascii="仿宋_GB2312" w:hAnsi="仿宋_GB2312" w:eastAsia="仿宋_GB2312" w:cs="仿宋_GB2312"/>
          <w:color w:val="auto"/>
          <w:sz w:val="32"/>
          <w:szCs w:val="32"/>
        </w:rPr>
        <w:t>实用新型专利≥2</w:t>
      </w:r>
      <w:r>
        <w:rPr>
          <w:rFonts w:hint="eastAsia" w:ascii="仿宋_GB2312" w:hAnsi="仿宋_GB2312" w:eastAsia="仿宋_GB2312" w:cs="仿宋_GB2312"/>
          <w:color w:val="auto"/>
          <w:sz w:val="32"/>
          <w:szCs w:val="32"/>
          <w:lang w:val="en-US" w:eastAsia="zh-CN"/>
        </w:rPr>
        <w:t>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重点项目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一般项目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（四）支持强度与支持方式。</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本专题</w:t>
      </w:r>
      <w:r>
        <w:rPr>
          <w:rFonts w:hint="eastAsia" w:ascii="仿宋_GB2312" w:hAnsi="仿宋_GB2312" w:eastAsia="仿宋_GB2312" w:cs="仿宋_GB2312"/>
          <w:color w:val="auto"/>
          <w:sz w:val="32"/>
          <w:szCs w:val="32"/>
          <w:lang w:eastAsia="zh-CN"/>
        </w:rPr>
        <w:t>共</w:t>
      </w:r>
      <w:r>
        <w:rPr>
          <w:rFonts w:hint="eastAsia" w:ascii="仿宋_GB2312" w:hAnsi="仿宋_GB2312" w:eastAsia="仿宋_GB2312" w:cs="仿宋_GB2312"/>
          <w:color w:val="auto"/>
          <w:sz w:val="32"/>
          <w:szCs w:val="32"/>
        </w:rPr>
        <w:t>支持100万元，方向</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为重点项目</w:t>
      </w:r>
      <w:r>
        <w:rPr>
          <w:rFonts w:hint="eastAsia" w:ascii="仿宋_GB2312" w:hAnsi="仿宋_GB2312" w:eastAsia="仿宋_GB2312" w:cs="仿宋_GB2312"/>
          <w:color w:val="auto"/>
          <w:sz w:val="32"/>
          <w:szCs w:val="32"/>
          <w:lang w:eastAsia="zh-CN"/>
        </w:rPr>
        <w:t>，共</w:t>
      </w:r>
      <w:r>
        <w:rPr>
          <w:rFonts w:hint="eastAsia" w:ascii="仿宋_GB2312" w:hAnsi="仿宋_GB2312" w:eastAsia="仿宋_GB2312" w:cs="仿宋_GB2312"/>
          <w:color w:val="auto"/>
          <w:sz w:val="32"/>
          <w:szCs w:val="32"/>
        </w:rPr>
        <w:t>1项</w:t>
      </w:r>
      <w:r>
        <w:rPr>
          <w:rFonts w:hint="eastAsia" w:ascii="仿宋_GB2312" w:hAnsi="仿宋_GB2312" w:eastAsia="仿宋_GB2312" w:cs="仿宋_GB2312"/>
          <w:color w:val="auto"/>
          <w:sz w:val="32"/>
          <w:szCs w:val="32"/>
          <w:lang w:eastAsia="zh-CN"/>
        </w:rPr>
        <w:t>，</w:t>
      </w:r>
      <w:r>
        <w:rPr>
          <w:rFonts w:hint="eastAsia" w:ascii="Times New Roman" w:hAnsi="Times New Roman" w:eastAsia="仿宋_GB2312" w:cs="仿宋_GB2312"/>
          <w:color w:val="auto"/>
          <w:sz w:val="32"/>
          <w:szCs w:val="32"/>
          <w:lang w:val="en-US" w:eastAsia="zh-CN"/>
        </w:rPr>
        <w:t>20</w:t>
      </w:r>
      <w:r>
        <w:rPr>
          <w:rFonts w:hint="eastAsia" w:ascii="Times New Roman" w:hAnsi="Times New Roman" w:eastAsia="仿宋_GB2312" w:cs="仿宋_GB2312"/>
          <w:color w:val="auto"/>
          <w:sz w:val="32"/>
          <w:szCs w:val="32"/>
        </w:rPr>
        <w:t>万元／项</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方向</w:t>
      </w:r>
      <w:r>
        <w:rPr>
          <w:rFonts w:hint="eastAsia" w:ascii="仿宋_GB2312" w:hAnsi="仿宋_GB2312" w:eastAsia="仿宋_GB2312" w:cs="仿宋_GB2312"/>
          <w:color w:val="auto"/>
          <w:sz w:val="32"/>
          <w:szCs w:val="32"/>
          <w:lang w:val="en-US" w:eastAsia="zh-CN"/>
        </w:rPr>
        <w:t>2-4</w:t>
      </w:r>
      <w:r>
        <w:rPr>
          <w:rFonts w:hint="eastAsia" w:ascii="仿宋_GB2312" w:hAnsi="仿宋_GB2312" w:eastAsia="仿宋_GB2312" w:cs="仿宋_GB2312"/>
          <w:color w:val="auto"/>
          <w:sz w:val="32"/>
          <w:szCs w:val="32"/>
          <w:lang w:eastAsia="zh-CN"/>
        </w:rPr>
        <w:t>为</w:t>
      </w:r>
      <w:r>
        <w:rPr>
          <w:rFonts w:hint="eastAsia" w:ascii="仿宋_GB2312" w:hAnsi="仿宋_GB2312" w:eastAsia="仿宋_GB2312" w:cs="仿宋_GB2312"/>
          <w:color w:val="auto"/>
          <w:sz w:val="32"/>
          <w:szCs w:val="32"/>
        </w:rPr>
        <w:t>一般项目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每个方向支持2项，共8项</w:t>
      </w:r>
      <w:r>
        <w:rPr>
          <w:rFonts w:hint="eastAsia" w:ascii="仿宋_GB2312" w:hAnsi="仿宋_GB2312" w:eastAsia="仿宋_GB2312" w:cs="仿宋_GB2312"/>
          <w:color w:val="auto"/>
          <w:sz w:val="32"/>
          <w:szCs w:val="32"/>
          <w:lang w:eastAsia="zh-CN"/>
        </w:rPr>
        <w:t>，</w:t>
      </w:r>
      <w:r>
        <w:rPr>
          <w:rFonts w:hint="eastAsia" w:ascii="Times New Roman" w:hAnsi="Times New Roman" w:eastAsia="仿宋_GB2312" w:cs="仿宋_GB2312"/>
          <w:color w:val="auto"/>
          <w:sz w:val="32"/>
          <w:szCs w:val="32"/>
          <w:lang w:val="en-US" w:eastAsia="zh-CN"/>
        </w:rPr>
        <w:t>10</w:t>
      </w:r>
      <w:r>
        <w:rPr>
          <w:rFonts w:hint="eastAsia" w:ascii="Times New Roman" w:hAnsi="Times New Roman" w:eastAsia="仿宋_GB2312" w:cs="仿宋_GB2312"/>
          <w:color w:val="auto"/>
          <w:sz w:val="32"/>
          <w:szCs w:val="32"/>
        </w:rPr>
        <w:t>万元／项</w:t>
      </w:r>
      <w:r>
        <w:rPr>
          <w:rFonts w:hint="eastAsia" w:ascii="仿宋_GB2312" w:hAnsi="仿宋_GB2312" w:eastAsia="仿宋_GB2312" w:cs="仿宋_GB2312"/>
          <w:color w:val="auto"/>
          <w:sz w:val="32"/>
          <w:szCs w:val="32"/>
          <w:lang w:eastAsia="zh-CN"/>
        </w:rPr>
        <w:t>，共</w:t>
      </w:r>
      <w:r>
        <w:rPr>
          <w:rFonts w:hint="eastAsia" w:ascii="仿宋_GB2312" w:hAnsi="仿宋_GB2312" w:eastAsia="仿宋_GB2312" w:cs="仿宋_GB2312"/>
          <w:color w:val="auto"/>
          <w:sz w:val="32"/>
          <w:szCs w:val="32"/>
          <w:lang w:val="en-US" w:eastAsia="zh-CN"/>
        </w:rPr>
        <w:t>100万元</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全部项目为</w:t>
      </w:r>
      <w:r>
        <w:rPr>
          <w:rFonts w:hint="eastAsia" w:ascii="仿宋_GB2312" w:hAnsi="仿宋_GB2312" w:eastAsia="仿宋_GB2312" w:cs="仿宋_GB2312"/>
          <w:color w:val="auto"/>
          <w:sz w:val="32"/>
          <w:szCs w:val="32"/>
        </w:rPr>
        <w:t>事前立项无偿资助。</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黑体" w:hAnsi="黑体" w:eastAsia="黑体" w:cs="黑体"/>
          <w:b w:val="0"/>
          <w:bCs w:val="0"/>
          <w:color w:val="auto"/>
          <w:sz w:val="32"/>
          <w:szCs w:val="32"/>
          <w:lang w:val="en-US" w:eastAsia="zh-CN"/>
        </w:rPr>
      </w:pPr>
      <w:r>
        <w:rPr>
          <w:rFonts w:hint="eastAsia" w:ascii="Times New Roman" w:hAnsi="Times New Roman" w:eastAsia="仿宋_GB2312" w:cs="仿宋_GB2312"/>
          <w:b w:val="0"/>
          <w:bCs w:val="0"/>
          <w:color w:val="auto"/>
          <w:sz w:val="32"/>
          <w:szCs w:val="32"/>
          <w:lang w:val="en-US" w:eastAsia="zh-CN"/>
        </w:rPr>
        <w:t>联系人：</w:t>
      </w:r>
      <w:r>
        <w:rPr>
          <w:rFonts w:hint="eastAsia" w:ascii="Times New Roman" w:hAnsi="Times New Roman" w:eastAsia="仿宋_GB2312" w:cs="仿宋_GB2312"/>
          <w:b w:val="0"/>
          <w:bCs w:val="0"/>
          <w:color w:val="auto"/>
          <w:sz w:val="32"/>
          <w:szCs w:val="32"/>
          <w:lang w:eastAsia="zh-CN"/>
        </w:rPr>
        <w:t>陈汉林</w:t>
      </w:r>
      <w:r>
        <w:rPr>
          <w:rFonts w:hint="eastAsia" w:ascii="Times New Roman" w:hAnsi="Times New Roman" w:eastAsia="仿宋_GB2312" w:cs="仿宋_GB2312"/>
          <w:b w:val="0"/>
          <w:bCs w:val="0"/>
          <w:color w:val="auto"/>
          <w:sz w:val="32"/>
          <w:szCs w:val="32"/>
          <w:lang w:val="en-US" w:eastAsia="zh-CN"/>
        </w:rPr>
        <w:t xml:space="preserve">   联系电话：2298244</w:t>
      </w:r>
    </w:p>
    <w:p>
      <w:pPr>
        <w:keepNext w:val="0"/>
        <w:keepLines w:val="0"/>
        <w:pageBreakBefore w:val="0"/>
        <w:widowControl/>
        <w:kinsoku/>
        <w:wordWrap/>
        <w:overflowPunct/>
        <w:topLinePunct w:val="0"/>
        <w:autoSpaceDE/>
        <w:autoSpaceDN/>
        <w:bidi w:val="0"/>
        <w:adjustRightInd w:val="0"/>
        <w:snapToGrid w:val="0"/>
        <w:spacing w:line="40" w:lineRule="exact"/>
        <w:ind w:firstLine="640" w:firstLineChars="200"/>
        <w:jc w:val="center"/>
        <w:textAlignment w:val="auto"/>
        <w:rPr>
          <w:rFonts w:hint="eastAsia" w:ascii="黑体" w:hAnsi="黑体" w:eastAsia="黑体" w:cs="黑体"/>
          <w:b w:val="0"/>
          <w:bCs w:val="0"/>
          <w:sz w:val="32"/>
          <w:szCs w:val="32"/>
          <w:lang w:eastAsia="zh-CN"/>
        </w:rPr>
      </w:pPr>
      <w:bookmarkStart w:id="0" w:name="_GoBack"/>
      <w:bookmarkEnd w:id="0"/>
    </w:p>
    <w:p>
      <w:pPr>
        <w:keepNext w:val="0"/>
        <w:keepLines w:val="0"/>
        <w:pageBreakBefore w:val="0"/>
        <w:kinsoku/>
        <w:wordWrap/>
        <w:overflowPunct/>
        <w:topLinePunct w:val="0"/>
        <w:autoSpaceDE/>
        <w:autoSpaceDN/>
        <w:bidi w:val="0"/>
        <w:adjustRightInd w:val="0"/>
        <w:snapToGrid w:val="0"/>
        <w:spacing w:line="580" w:lineRule="exact"/>
        <w:ind w:firstLine="640" w:firstLineChars="20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eastAsia="zh-CN"/>
        </w:rPr>
        <w:t>专项三、</w:t>
      </w:r>
      <w:r>
        <w:rPr>
          <w:rFonts w:hint="eastAsia" w:ascii="黑体" w:hAnsi="黑体" w:eastAsia="黑体" w:cs="黑体"/>
          <w:b w:val="0"/>
          <w:bCs w:val="0"/>
          <w:sz w:val="32"/>
          <w:szCs w:val="32"/>
          <w:lang w:val="en-US" w:eastAsia="zh-CN"/>
        </w:rPr>
        <w:t>科普能力建设专项</w:t>
      </w:r>
    </w:p>
    <w:p>
      <w:pPr>
        <w:keepNext w:val="0"/>
        <w:keepLines w:val="0"/>
        <w:pageBreakBefore w:val="0"/>
        <w:kinsoku/>
        <w:wordWrap/>
        <w:overflowPunct/>
        <w:topLinePunct w:val="0"/>
        <w:autoSpaceDE/>
        <w:autoSpaceDN/>
        <w:bidi w:val="0"/>
        <w:adjustRightInd w:val="0"/>
        <w:snapToGrid w:val="0"/>
        <w:spacing w:line="600" w:lineRule="exact"/>
        <w:ind w:firstLine="642" w:firstLineChars="200"/>
        <w:textAlignment w:val="auto"/>
        <w:rPr>
          <w:rFonts w:hint="eastAsia" w:ascii="Times New Roman" w:hAnsi="Times New Roman" w:eastAsia="仿宋_GB2312" w:cs="仿宋_GB2312"/>
          <w:sz w:val="32"/>
          <w:szCs w:val="32"/>
        </w:rPr>
      </w:pPr>
      <w:r>
        <w:rPr>
          <w:rFonts w:hint="eastAsia" w:ascii="楷体" w:hAnsi="楷体" w:eastAsia="楷体" w:cs="楷体"/>
          <w:b/>
          <w:bCs/>
          <w:sz w:val="32"/>
          <w:szCs w:val="32"/>
          <w:lang w:eastAsia="zh-CN"/>
        </w:rPr>
        <w:t>专题三（专题编号：202</w:t>
      </w:r>
      <w:r>
        <w:rPr>
          <w:rFonts w:hint="eastAsia" w:ascii="楷体" w:hAnsi="楷体" w:eastAsia="楷体" w:cs="楷体"/>
          <w:b/>
          <w:bCs/>
          <w:sz w:val="32"/>
          <w:szCs w:val="32"/>
          <w:lang w:val="en-US" w:eastAsia="zh-CN"/>
        </w:rPr>
        <w:t>5</w:t>
      </w:r>
      <w:r>
        <w:rPr>
          <w:rFonts w:hint="eastAsia" w:ascii="楷体" w:hAnsi="楷体" w:eastAsia="楷体" w:cs="楷体"/>
          <w:b/>
          <w:bCs/>
          <w:sz w:val="32"/>
          <w:szCs w:val="32"/>
          <w:lang w:eastAsia="zh-CN"/>
        </w:rPr>
        <w:t>KJ</w:t>
      </w:r>
      <w:r>
        <w:rPr>
          <w:rFonts w:hint="eastAsia" w:ascii="楷体" w:hAnsi="楷体" w:eastAsia="楷体" w:cs="楷体"/>
          <w:b/>
          <w:bCs/>
          <w:sz w:val="32"/>
          <w:szCs w:val="32"/>
          <w:lang w:val="en-US" w:eastAsia="zh-CN"/>
        </w:rPr>
        <w:t>ZX</w:t>
      </w:r>
      <w:r>
        <w:rPr>
          <w:rFonts w:hint="eastAsia" w:ascii="楷体" w:hAnsi="楷体" w:eastAsia="楷体" w:cs="楷体"/>
          <w:b/>
          <w:bCs/>
          <w:sz w:val="32"/>
          <w:szCs w:val="32"/>
          <w:lang w:eastAsia="zh-CN"/>
        </w:rPr>
        <w:t>0</w:t>
      </w:r>
      <w:r>
        <w:rPr>
          <w:rFonts w:hint="eastAsia" w:ascii="楷体" w:hAnsi="楷体" w:eastAsia="楷体" w:cs="楷体"/>
          <w:b/>
          <w:bCs/>
          <w:sz w:val="32"/>
          <w:szCs w:val="32"/>
          <w:lang w:val="en-US" w:eastAsia="zh-CN"/>
        </w:rPr>
        <w:t>3</w:t>
      </w: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科普能力建设专题。</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b/>
          <w:bCs/>
          <w:sz w:val="32"/>
          <w:szCs w:val="32"/>
        </w:rPr>
        <w:t>）支持方向</w:t>
      </w:r>
      <w:r>
        <w:rPr>
          <w:rFonts w:hint="eastAsia" w:ascii="Times New Roman" w:hAnsi="Times New Roman" w:eastAsia="仿宋_GB2312" w:cs="仿宋_GB2312"/>
          <w:b/>
          <w:bCs/>
          <w:sz w:val="32"/>
          <w:szCs w:val="32"/>
          <w:lang w:eastAsia="zh-CN"/>
        </w:rPr>
        <w:t>。</w:t>
      </w:r>
    </w:p>
    <w:p>
      <w:pPr>
        <w:keepNext w:val="0"/>
        <w:keepLines w:val="0"/>
        <w:pageBreakBefore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支持开展茂名市科普演讲大赛、科技普法宣传及科技下乡、全国科技活动周系列活动、科技培训、科技创新交流、科技宣传和创新创业大赛等工作。</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textAlignment w:val="auto"/>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b/>
          <w:bCs/>
          <w:sz w:val="32"/>
          <w:szCs w:val="32"/>
        </w:rPr>
        <w:t>）申报要求</w:t>
      </w:r>
      <w:r>
        <w:rPr>
          <w:rFonts w:hint="eastAsia" w:ascii="Times New Roman" w:hAnsi="Times New Roman" w:eastAsia="仿宋_GB2312" w:cs="仿宋_GB2312"/>
          <w:b/>
          <w:bCs/>
          <w:sz w:val="32"/>
          <w:szCs w:val="32"/>
          <w:lang w:eastAsia="zh-CN"/>
        </w:rPr>
        <w:t>。</w:t>
      </w:r>
    </w:p>
    <w:p>
      <w:pPr>
        <w:keepNext w:val="0"/>
        <w:keepLines w:val="0"/>
        <w:pageBreakBefore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申报单位为茂名注册的企事业单位，具有从事科技服务的职能，以及承办科技部门主办的科普大赛茂名地方赛、地市级科技活动周以及中国创新创业大赛地区赛各3次以上的经验和条件，并且申报单位专业团队稳定，自有5名（含5名）以上高级职称人员。</w:t>
      </w:r>
    </w:p>
    <w:p>
      <w:pPr>
        <w:keepNext w:val="0"/>
        <w:keepLines w:val="0"/>
        <w:pageBreakBefore w:val="0"/>
        <w:kinsoku/>
        <w:wordWrap/>
        <w:overflowPunct/>
        <w:topLinePunct w:val="0"/>
        <w:autoSpaceDE/>
        <w:autoSpaceDN/>
        <w:bidi w:val="0"/>
        <w:adjustRightInd w:val="0"/>
        <w:snapToGrid w:val="0"/>
        <w:spacing w:after="0" w:line="600" w:lineRule="exact"/>
        <w:ind w:firstLine="642" w:firstLineChars="200"/>
        <w:jc w:val="both"/>
        <w:textAlignment w:val="auto"/>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（三）绩效目标。</w:t>
      </w:r>
    </w:p>
    <w:p>
      <w:pPr>
        <w:keepNext w:val="0"/>
        <w:keepLines w:val="0"/>
        <w:pageBreakBefore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承办2026年茂名市科普讲解大赛；承办科普宣传进入学校活动1次以上；承办2026年全国科技活动周系列活动；开展科技普法宣传及科技下乡活动（举办不少于2次相关活动，不低于200名群众参与）提高全民科学素养；加强科技培训（举办不少于2次培训，不低于200名群众参与）；开展本市创新创业大赛等。</w:t>
      </w:r>
    </w:p>
    <w:p>
      <w:pPr>
        <w:keepNext w:val="0"/>
        <w:keepLines w:val="0"/>
        <w:pageBreakBefore w:val="0"/>
        <w:kinsoku/>
        <w:wordWrap/>
        <w:overflowPunct/>
        <w:topLinePunct w:val="0"/>
        <w:autoSpaceDE/>
        <w:autoSpaceDN/>
        <w:bidi w:val="0"/>
        <w:adjustRightInd w:val="0"/>
        <w:snapToGrid w:val="0"/>
        <w:spacing w:after="0" w:line="600" w:lineRule="exact"/>
        <w:ind w:firstLine="642" w:firstLineChars="200"/>
        <w:jc w:val="both"/>
        <w:textAlignment w:val="auto"/>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（四）支持强度与支持方式。</w:t>
      </w:r>
    </w:p>
    <w:p>
      <w:pPr>
        <w:keepNext w:val="0"/>
        <w:keepLines w:val="0"/>
        <w:pageBreakBefore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支持1项，40万元/项。事前立项无偿资助。</w:t>
      </w:r>
    </w:p>
    <w:p>
      <w:pPr>
        <w:keepNext w:val="0"/>
        <w:keepLines w:val="0"/>
        <w:pageBreakBefore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联系人：梁旭野　　联系电话：2869682</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p>
    <w:p>
      <w:pPr>
        <w:keepNext w:val="0"/>
        <w:keepLines w:val="0"/>
        <w:pageBreakBefore w:val="0"/>
        <w:kinsoku/>
        <w:wordWrap/>
        <w:overflowPunct/>
        <w:topLinePunct w:val="0"/>
        <w:autoSpaceDE/>
        <w:autoSpaceDN/>
        <w:bidi w:val="0"/>
        <w:adjustRightInd w:val="0"/>
        <w:snapToGrid w:val="0"/>
        <w:spacing w:line="580" w:lineRule="exact"/>
        <w:ind w:firstLine="640" w:firstLineChars="20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eastAsia="zh-CN"/>
        </w:rPr>
        <w:t>专项四、科技服务（平台）能力保障提升专项</w:t>
      </w:r>
    </w:p>
    <w:p>
      <w:pPr>
        <w:keepNext w:val="0"/>
        <w:keepLines w:val="0"/>
        <w:pageBreakBefore w:val="0"/>
        <w:kinsoku/>
        <w:wordWrap/>
        <w:overflowPunct/>
        <w:topLinePunct w:val="0"/>
        <w:autoSpaceDE/>
        <w:autoSpaceDN/>
        <w:bidi w:val="0"/>
        <w:adjustRightInd w:val="0"/>
        <w:snapToGrid w:val="0"/>
        <w:spacing w:line="600" w:lineRule="exact"/>
        <w:ind w:firstLine="642" w:firstLineChars="200"/>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专题四（专题编号：202</w:t>
      </w:r>
      <w:r>
        <w:rPr>
          <w:rFonts w:hint="eastAsia" w:ascii="楷体" w:hAnsi="楷体" w:eastAsia="楷体" w:cs="楷体"/>
          <w:b/>
          <w:bCs/>
          <w:sz w:val="32"/>
          <w:szCs w:val="32"/>
          <w:lang w:val="en-US" w:eastAsia="zh-CN"/>
        </w:rPr>
        <w:t>5</w:t>
      </w:r>
      <w:r>
        <w:rPr>
          <w:rFonts w:hint="eastAsia" w:ascii="楷体" w:hAnsi="楷体" w:eastAsia="楷体" w:cs="楷体"/>
          <w:b/>
          <w:bCs/>
          <w:sz w:val="32"/>
          <w:szCs w:val="32"/>
          <w:lang w:eastAsia="zh-CN"/>
        </w:rPr>
        <w:t>KJ</w:t>
      </w:r>
      <w:r>
        <w:rPr>
          <w:rFonts w:hint="eastAsia" w:ascii="楷体" w:hAnsi="楷体" w:eastAsia="楷体" w:cs="楷体"/>
          <w:b/>
          <w:bCs/>
          <w:sz w:val="32"/>
          <w:szCs w:val="32"/>
          <w:lang w:val="en-US" w:eastAsia="zh-CN"/>
        </w:rPr>
        <w:t>ZX</w:t>
      </w:r>
      <w:r>
        <w:rPr>
          <w:rFonts w:hint="eastAsia" w:ascii="楷体" w:hAnsi="楷体" w:eastAsia="楷体" w:cs="楷体"/>
          <w:b/>
          <w:bCs/>
          <w:sz w:val="32"/>
          <w:szCs w:val="32"/>
          <w:lang w:eastAsia="zh-CN"/>
        </w:rPr>
        <w:t>0</w:t>
      </w:r>
      <w:r>
        <w:rPr>
          <w:rFonts w:hint="eastAsia" w:ascii="楷体" w:hAnsi="楷体" w:eastAsia="楷体" w:cs="楷体"/>
          <w:b/>
          <w:bCs/>
          <w:sz w:val="32"/>
          <w:szCs w:val="32"/>
          <w:lang w:val="en-US" w:eastAsia="zh-CN"/>
        </w:rPr>
        <w:t>4</w:t>
      </w: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科技服务（平台）能力保障提升专题。</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b/>
          <w:bCs/>
          <w:sz w:val="32"/>
          <w:szCs w:val="32"/>
        </w:rPr>
        <w:t>）支持方向</w:t>
      </w:r>
      <w:r>
        <w:rPr>
          <w:rFonts w:hint="eastAsia" w:ascii="Times New Roman" w:hAnsi="Times New Roman" w:eastAsia="仿宋_GB2312" w:cs="仿宋_GB2312"/>
          <w:b/>
          <w:bCs/>
          <w:sz w:val="32"/>
          <w:szCs w:val="32"/>
          <w:lang w:eastAsia="zh-CN"/>
        </w:rPr>
        <w:t>。</w:t>
      </w:r>
      <w:r>
        <w:rPr>
          <w:rFonts w:hint="eastAsia" w:ascii="仿宋" w:hAnsi="仿宋" w:eastAsia="仿宋" w:cs="仿宋"/>
          <w:sz w:val="32"/>
          <w:szCs w:val="32"/>
          <w:lang w:val="en-US" w:eastAsia="zh-CN"/>
        </w:rPr>
        <w:t>支持优化茂名市科技业务管理阳光政务平台、科技政务基础设施建设、承办创新创业大赛和科技下乡等活动、承担各类科技平台及网站日常维护、科技统计等工作。</w:t>
      </w:r>
    </w:p>
    <w:p>
      <w:pPr>
        <w:keepNext w:val="0"/>
        <w:keepLines w:val="0"/>
        <w:pageBreakBefore w:val="0"/>
        <w:widowControl w:val="0"/>
        <w:numPr>
          <w:ilvl w:val="0"/>
          <w:numId w:val="2"/>
        </w:numPr>
        <w:kinsoku/>
        <w:wordWrap/>
        <w:overflowPunct/>
        <w:topLinePunct w:val="0"/>
        <w:autoSpaceDE/>
        <w:autoSpaceDN/>
        <w:bidi w:val="0"/>
        <w:adjustRightInd w:val="0"/>
        <w:snapToGrid w:val="0"/>
        <w:spacing w:after="0" w:line="600" w:lineRule="exact"/>
        <w:ind w:firstLine="642"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申报要求</w:t>
      </w:r>
      <w:r>
        <w:rPr>
          <w:rFonts w:hint="eastAsia" w:ascii="Times New Roman" w:hAnsi="Times New Roman" w:eastAsia="仿宋_GB2312" w:cs="仿宋_GB2312"/>
          <w:b/>
          <w:bCs/>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textAlignment w:val="auto"/>
        <w:rPr>
          <w:rFonts w:hint="default" w:ascii="Times New Roman" w:hAnsi="Times New Roman" w:eastAsia="仿宋_GB2312" w:cs="仿宋_GB2312"/>
          <w:b/>
          <w:bCs/>
          <w:sz w:val="32"/>
          <w:szCs w:val="32"/>
          <w:lang w:val="en-US" w:eastAsia="zh-CN"/>
        </w:rPr>
      </w:pPr>
      <w:r>
        <w:rPr>
          <w:rFonts w:hint="eastAsia" w:ascii="Times New Roman" w:hAnsi="Times New Roman" w:eastAsia="仿宋_GB2312" w:cs="仿宋_GB2312"/>
          <w:b/>
          <w:bCs/>
          <w:sz w:val="32"/>
          <w:szCs w:val="32"/>
          <w:lang w:val="en-US" w:eastAsia="zh-CN"/>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申报单位为茂名注册的企事业单位，具有从事科技服务的职能，承担地市级科技政务平台、科技政府基础设施建设，并且申报单位专业团队稳定，自有5名（含5名）以上高级职称人员。</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三</w:t>
      </w:r>
      <w:r>
        <w:rPr>
          <w:rFonts w:hint="eastAsia" w:ascii="Times New Roman" w:hAnsi="Times New Roman" w:eastAsia="仿宋_GB2312" w:cs="仿宋_GB2312"/>
          <w:b/>
          <w:bCs/>
          <w:sz w:val="32"/>
          <w:szCs w:val="32"/>
        </w:rPr>
        <w:t>）绩效目标</w:t>
      </w:r>
      <w:r>
        <w:rPr>
          <w:rFonts w:hint="eastAsia" w:ascii="Times New Roman" w:hAnsi="Times New Roman"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val="en-US" w:eastAsia="zh-CN"/>
        </w:rPr>
        <w:t>支持优化茂名市科技业务管理阳光政务平台。打通科技管理数据接口和业务流程，实现平台间数据实时共享与业务协同。简化科技项目申报审批流程，实现线上全流程办理；完善茂名市科技局门户网站集约化建设和微信公众号日常更新维护，整合网站资源，提升信息发布、在线服务和互动交流功能，打造统一、高效的服务窗口；开展科技统计关键共性技术服务，提升科技数据采集、处理和分析的准确性与效率；培育专业的统计技术团队，开展科技统计业务培训和技术指导系列服务，保障科技统计数据质量，为政府科技决策提供可靠依据。</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（四）支持强度与支持方式</w:t>
      </w:r>
      <w:r>
        <w:rPr>
          <w:rFonts w:hint="eastAsia" w:ascii="Times New Roman" w:hAnsi="Times New Roman"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支持</w:t>
      </w: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rPr>
        <w:t>项，</w:t>
      </w:r>
      <w:r>
        <w:rPr>
          <w:rFonts w:hint="eastAsia" w:ascii="Times New Roman" w:hAnsi="Times New Roman" w:eastAsia="仿宋_GB2312" w:cs="仿宋_GB2312"/>
          <w:sz w:val="32"/>
          <w:szCs w:val="32"/>
          <w:lang w:val="en-US" w:eastAsia="zh-CN"/>
        </w:rPr>
        <w:t>50</w:t>
      </w:r>
      <w:r>
        <w:rPr>
          <w:rFonts w:hint="eastAsia" w:ascii="Times New Roman" w:hAnsi="Times New Roman" w:eastAsia="仿宋_GB2312" w:cs="仿宋_GB2312"/>
          <w:sz w:val="32"/>
          <w:szCs w:val="32"/>
        </w:rPr>
        <w:t>万元／项</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事前立项无偿资助。</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 xml:space="preserve">联系人：吴憬辉   联系电话：2875080 </w:t>
      </w:r>
    </w:p>
    <w:p>
      <w:pPr>
        <w:keepNext w:val="0"/>
        <w:keepLines w:val="0"/>
        <w:pageBreakBefore w:val="0"/>
        <w:kinsoku/>
        <w:wordWrap/>
        <w:overflowPunct/>
        <w:topLinePunct w:val="0"/>
        <w:autoSpaceDE/>
        <w:autoSpaceDN/>
        <w:bidi w:val="0"/>
        <w:adjustRightInd w:val="0"/>
        <w:snapToGrid w:val="0"/>
        <w:spacing w:line="600" w:lineRule="exact"/>
        <w:textAlignment w:val="auto"/>
        <w:rPr>
          <w:rFonts w:hint="eastAsia" w:ascii="黑体" w:hAnsi="黑体" w:eastAsia="黑体" w:cs="黑体"/>
          <w:sz w:val="10"/>
          <w:szCs w:val="10"/>
          <w:lang w:eastAsia="zh-CN"/>
        </w:rPr>
      </w:pPr>
    </w:p>
    <w:p>
      <w:pPr>
        <w:keepNext w:val="0"/>
        <w:keepLines w:val="0"/>
        <w:pageBreakBefore w:val="0"/>
        <w:widowControl w:val="0"/>
        <w:kinsoku/>
        <w:wordWrap/>
        <w:overflowPunct/>
        <w:topLinePunct w:val="0"/>
        <w:autoSpaceDE/>
        <w:autoSpaceDN/>
        <w:bidi w:val="0"/>
        <w:adjustRightInd w:val="0"/>
        <w:snapToGrid w:val="0"/>
        <w:spacing w:after="0" w:line="580" w:lineRule="exact"/>
        <w:ind w:firstLine="642" w:firstLineChars="200"/>
        <w:textAlignment w:val="auto"/>
        <w:rPr>
          <w:rFonts w:hint="eastAsia" w:ascii="黑体" w:hAnsi="黑体" w:eastAsia="黑体" w:cs="黑体"/>
          <w:b/>
          <w:bCs/>
          <w:sz w:val="32"/>
          <w:szCs w:val="32"/>
          <w:lang w:val="en-US" w:eastAsia="zh-CN"/>
        </w:rPr>
      </w:pPr>
    </w:p>
    <w:sectPr>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Tahoma">
    <w:altName w:val="DejaVu Sans"/>
    <w:panose1 w:val="020B0604030504040204"/>
    <w:charset w:val="00"/>
    <w:family w:val="swiss"/>
    <w:pitch w:val="default"/>
    <w:sig w:usb0="00000000" w:usb1="00000000" w:usb2="00000029" w:usb3="00000000" w:csb0="200101FF" w:csb1="2028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 </w:t>
                          </w:r>
                          <w:r>
                            <w:fldChar w:fldCharType="begin"/>
                          </w:r>
                          <w:r>
                            <w:instrText xml:space="preserve"> PAGE  \* MERGEFORMAT </w:instrText>
                          </w:r>
                          <w:r>
                            <w:fldChar w:fldCharType="separate"/>
                          </w:r>
                          <w:r>
                            <w:t>- 1 -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3"/>
                    </w:pPr>
                    <w:r>
                      <w:t xml:space="preserve">— </w:t>
                    </w:r>
                    <w:r>
                      <w:fldChar w:fldCharType="begin"/>
                    </w:r>
                    <w:r>
                      <w:instrText xml:space="preserve"> PAGE  \* MERGEFORMAT </w:instrText>
                    </w:r>
                    <w:r>
                      <w:fldChar w:fldCharType="separate"/>
                    </w:r>
                    <w:r>
                      <w:t>- 1 -</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AEB64D"/>
    <w:multiLevelType w:val="singleLevel"/>
    <w:tmpl w:val="FDAEB64D"/>
    <w:lvl w:ilvl="0" w:tentative="0">
      <w:start w:val="2"/>
      <w:numFmt w:val="chineseCounting"/>
      <w:suff w:val="nothing"/>
      <w:lvlText w:val="（%1）"/>
      <w:lvlJc w:val="left"/>
      <w:rPr>
        <w:rFonts w:hint="eastAsia"/>
      </w:rPr>
    </w:lvl>
  </w:abstractNum>
  <w:abstractNum w:abstractNumId="1">
    <w:nsid w:val="5D4E3FA2"/>
    <w:multiLevelType w:val="singleLevel"/>
    <w:tmpl w:val="5D4E3FA2"/>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2N2M2YTljY2UyZjRkMDMwYTM2ZTEwMjY5YjgwODIifQ=="/>
  </w:docVars>
  <w:rsids>
    <w:rsidRoot w:val="44D908D2"/>
    <w:rsid w:val="01187E33"/>
    <w:rsid w:val="022B071A"/>
    <w:rsid w:val="03E029A3"/>
    <w:rsid w:val="06357ACA"/>
    <w:rsid w:val="08C26671"/>
    <w:rsid w:val="0BE908CD"/>
    <w:rsid w:val="11682BFD"/>
    <w:rsid w:val="11DC2486"/>
    <w:rsid w:val="122B08A8"/>
    <w:rsid w:val="12CD73C6"/>
    <w:rsid w:val="16B43498"/>
    <w:rsid w:val="16FF531E"/>
    <w:rsid w:val="1A114891"/>
    <w:rsid w:val="1AF720EF"/>
    <w:rsid w:val="1DE61170"/>
    <w:rsid w:val="1DEF1376"/>
    <w:rsid w:val="20AB51B8"/>
    <w:rsid w:val="266C0EDB"/>
    <w:rsid w:val="28724840"/>
    <w:rsid w:val="2A5670DC"/>
    <w:rsid w:val="2A6B0073"/>
    <w:rsid w:val="2C121667"/>
    <w:rsid w:val="2DBBB0AD"/>
    <w:rsid w:val="2F5A4562"/>
    <w:rsid w:val="2FAAC8E2"/>
    <w:rsid w:val="2FBF578D"/>
    <w:rsid w:val="323B6E74"/>
    <w:rsid w:val="37742D3A"/>
    <w:rsid w:val="37CF74D7"/>
    <w:rsid w:val="39AA3302"/>
    <w:rsid w:val="3A8D21AC"/>
    <w:rsid w:val="3E64393E"/>
    <w:rsid w:val="3E7E4F86"/>
    <w:rsid w:val="3FFE23CA"/>
    <w:rsid w:val="44D908D2"/>
    <w:rsid w:val="46D16D7F"/>
    <w:rsid w:val="46F2197C"/>
    <w:rsid w:val="48DD64C7"/>
    <w:rsid w:val="49EE553A"/>
    <w:rsid w:val="4EFF8169"/>
    <w:rsid w:val="50F3693E"/>
    <w:rsid w:val="537B04F0"/>
    <w:rsid w:val="53EF7B84"/>
    <w:rsid w:val="56DD67DB"/>
    <w:rsid w:val="56EFD879"/>
    <w:rsid w:val="5B3C3572"/>
    <w:rsid w:val="5CD78D6C"/>
    <w:rsid w:val="5CFB40CF"/>
    <w:rsid w:val="5DBF8A56"/>
    <w:rsid w:val="5FBA19E5"/>
    <w:rsid w:val="5FD39885"/>
    <w:rsid w:val="5FF3966F"/>
    <w:rsid w:val="65FEE422"/>
    <w:rsid w:val="681073B8"/>
    <w:rsid w:val="69F70E5A"/>
    <w:rsid w:val="6A8D6470"/>
    <w:rsid w:val="6D5F4142"/>
    <w:rsid w:val="6D9F277E"/>
    <w:rsid w:val="6E8E6DBE"/>
    <w:rsid w:val="755C1659"/>
    <w:rsid w:val="758E575E"/>
    <w:rsid w:val="76290FEB"/>
    <w:rsid w:val="7773E2E7"/>
    <w:rsid w:val="77AB2626"/>
    <w:rsid w:val="77BEF9AB"/>
    <w:rsid w:val="79B7BDE5"/>
    <w:rsid w:val="7B7A9ADF"/>
    <w:rsid w:val="7BEF2A14"/>
    <w:rsid w:val="7DEC3300"/>
    <w:rsid w:val="7ECFCA55"/>
    <w:rsid w:val="7F1D587D"/>
    <w:rsid w:val="7F9F2BD3"/>
    <w:rsid w:val="7FB5FBFD"/>
    <w:rsid w:val="7FB9E7F9"/>
    <w:rsid w:val="7FF58146"/>
    <w:rsid w:val="7FFD37C8"/>
    <w:rsid w:val="8FFF72C5"/>
    <w:rsid w:val="9BFD0312"/>
    <w:rsid w:val="9FBF5CCE"/>
    <w:rsid w:val="9FDF9C36"/>
    <w:rsid w:val="AF1F5EF2"/>
    <w:rsid w:val="BFDB8464"/>
    <w:rsid w:val="BFF2256B"/>
    <w:rsid w:val="CBBF22B1"/>
    <w:rsid w:val="CD9F78F6"/>
    <w:rsid w:val="DBFF06C8"/>
    <w:rsid w:val="DFFE2510"/>
    <w:rsid w:val="E7FC22BC"/>
    <w:rsid w:val="EBADFE7D"/>
    <w:rsid w:val="EF1BD85E"/>
    <w:rsid w:val="EFFF1979"/>
    <w:rsid w:val="F2FBDD4A"/>
    <w:rsid w:val="F3BDEEAD"/>
    <w:rsid w:val="F476DCD7"/>
    <w:rsid w:val="F5FE6B17"/>
    <w:rsid w:val="F789AA95"/>
    <w:rsid w:val="F7BE9F1A"/>
    <w:rsid w:val="F7DBB4EE"/>
    <w:rsid w:val="F7F50230"/>
    <w:rsid w:val="F9DB4AB8"/>
    <w:rsid w:val="FBFF5304"/>
    <w:rsid w:val="FCFF53B7"/>
    <w:rsid w:val="FEE97CDD"/>
    <w:rsid w:val="FEF7A629"/>
    <w:rsid w:val="FF64517B"/>
    <w:rsid w:val="FF6D34EB"/>
    <w:rsid w:val="FF6F1D16"/>
    <w:rsid w:val="FF75609C"/>
    <w:rsid w:val="FFBDB081"/>
    <w:rsid w:val="FFCB17A2"/>
    <w:rsid w:val="FFF9709C"/>
    <w:rsid w:val="FFFDBD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jc w:val="both"/>
    </w:pPr>
    <w:rPr>
      <w:rFonts w:ascii="Tahoma" w:hAnsi="Tahoma" w:eastAsia="微软雅黑" w:cs="Times New Roman"/>
      <w:sz w:val="22"/>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ind w:left="420" w:leftChars="200"/>
    </w:pPr>
    <w:rPr>
      <w:rFonts w:ascii="Times New Roman" w:hAnsi="Times New Roman" w:eastAsia="宋体" w:cs="Times New Roman"/>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100" w:beforeAutospacing="1" w:after="100" w:afterAutospacing="1"/>
      <w:ind w:left="0" w:right="0"/>
      <w:jc w:val="left"/>
    </w:pPr>
    <w:rPr>
      <w:rFonts w:ascii="Calibri" w:hAnsi="Calibri" w:eastAsia="宋体" w:cs="Times New Roman"/>
      <w:kern w:val="0"/>
      <w:sz w:val="24"/>
      <w:lang w:val="en-US" w:eastAsia="zh-CN" w:bidi="ar"/>
    </w:rPr>
  </w:style>
  <w:style w:type="paragraph" w:styleId="6">
    <w:name w:val="Body Text First Indent 2"/>
    <w:basedOn w:val="2"/>
    <w:next w:val="1"/>
    <w:qFormat/>
    <w:uiPriority w:val="0"/>
    <w:pPr>
      <w:ind w:firstLine="42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市科技局</Company>
  <Pages>14</Pages>
  <Words>5206</Words>
  <Characters>5528</Characters>
  <Lines>0</Lines>
  <Paragraphs>0</Paragraphs>
  <TotalTime>10</TotalTime>
  <ScaleCrop>false</ScaleCrop>
  <LinksUpToDate>false</LinksUpToDate>
  <CharactersWithSpaces>5583</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2024-09-21T00:40:00Z</dcterms:created>
  <dc:creator>8237476691</dc:creator>
  <cp:lastModifiedBy>bright</cp:lastModifiedBy>
  <cp:lastPrinted>2024-11-05T01:41:00Z</cp:lastPrinted>
  <dcterms:modified xsi:type="dcterms:W3CDTF">2025-10-15T16:18:25Z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5C905C242BED434DB39F8517B831C577_13</vt:lpwstr>
  </property>
</Properties>
</file>