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r>
        <w:rPr>
          <w:rFonts w:hint="default" w:ascii="Times New Roman" w:hAnsi="Times New Roman" w:eastAsia="方正小标宋简体" w:cs="Times New Roman"/>
          <w:sz w:val="44"/>
          <w:szCs w:val="44"/>
        </w:rPr>
        <w:t>高州市2021年度第五批次城镇建设</w:t>
      </w:r>
      <w:r>
        <w:rPr>
          <w:rFonts w:hint="eastAsia" w:ascii="方正小标宋简体" w:hAnsi="方正小标宋简体" w:eastAsia="方正小标宋简体" w:cs="方正小标宋简体"/>
          <w:sz w:val="44"/>
          <w:szCs w:val="44"/>
        </w:rPr>
        <w:t>用地</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征地补偿安置方案</w:t>
      </w:r>
    </w:p>
    <w:p>
      <w:pPr>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高州市2021年度第五批次城镇建设用地</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拟征收高州市宝光街道新塘村门口岭、新塘、新屋、月塘、禾仓、石一、石二经济合作社共有的集体所有土地4.1021公顷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根据土地管理法律、法规的有关规定，我局拟定该批次征地的补偿安置方案如下：</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一、补偿标准：征地补偿费(含土地补偿费和安置补助费):耕地、园地、林地、其他农用地每公顷91.8万元。青苗补偿费：耕地、园地、林地、其他农用地均按每公顷1.725万元计补。</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二、留用地安置方案：具体按《广东省征收农村集体土 地留用地管理办法</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试行</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粤府办〔2009〕41号</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、《广东省人民政府办公厅关于加强征收农村集体土地留用地安置管理工作的意见》</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粤府办〔2016〕30号</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的规定，按实际征收土地面积的15%安排留用地，留用地兑现方式为折算成 货币补偿，补偿标准为369万元/公顷。</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三、农业安置方案：被征地村</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队</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根据本村</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队</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实际情况，由集体经济组织内部对承包的土地自行调整安置。</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四、社会保障安置：参见《被征地农民养老保障方案》。</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50" w:lineRule="exact"/>
        <w:ind w:right="840" w:rightChars="400"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高州市自然资源局</w:t>
      </w:r>
    </w:p>
    <w:p>
      <w:pPr>
        <w:jc w:val="center"/>
        <w:rPr>
          <w:rFonts w:asciiTheme="majorEastAsia" w:hAnsiTheme="majorEastAsia" w:eastAsiaTheme="majorEastAsia"/>
          <w:b/>
          <w:sz w:val="36"/>
          <w:szCs w:val="36"/>
        </w:rPr>
      </w:pPr>
      <w:r>
        <w:rPr>
          <w:rFonts w:hint="eastAsia" w:ascii="Times New Roman" w:hAnsi="Times New Roman" w:eastAsia="仿宋_GB2312" w:cs="Times New Roman"/>
          <w:sz w:val="32"/>
          <w:szCs w:val="32"/>
          <w:lang w:val="en-US" w:eastAsia="zh-CN"/>
        </w:rPr>
        <w:t xml:space="preserve">                          </w:t>
      </w:r>
      <w:bookmarkStart w:id="0" w:name="_GoBack"/>
      <w:bookmarkEnd w:id="0"/>
      <w:r>
        <w:rPr>
          <w:rFonts w:hint="default" w:ascii="Times New Roman" w:hAnsi="Times New Roman" w:eastAsia="仿宋_GB2312" w:cs="Times New Roman"/>
          <w:sz w:val="32"/>
          <w:szCs w:val="32"/>
        </w:rPr>
        <w:t>2023年9月18日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17399"/>
    <w:rsid w:val="001D6DE3"/>
    <w:rsid w:val="002B198A"/>
    <w:rsid w:val="003E6106"/>
    <w:rsid w:val="00485909"/>
    <w:rsid w:val="009B7DFE"/>
    <w:rsid w:val="00AF5F52"/>
    <w:rsid w:val="00F17399"/>
    <w:rsid w:val="21E06F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semiHidden/>
    <w:uiPriority w:val="99"/>
    <w:rPr>
      <w:sz w:val="18"/>
      <w:szCs w:val="18"/>
    </w:rPr>
  </w:style>
  <w:style w:type="character" w:customStyle="1" w:styleId="8">
    <w:name w:val="页脚 Char"/>
    <w:basedOn w:val="6"/>
    <w:link w:val="2"/>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0</Words>
  <Characters>0</Characters>
  <Lines>1</Lines>
  <Paragraphs>1</Paragraphs>
  <TotalTime>0</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2023-12-22T01:29:00Z</dcterms:created>
  <dc:creator>aaaa</dc:creator>
  <cp:lastModifiedBy>aaaa</cp:lastModifiedBy>
  <dcterms:modified xsi:type="dcterms:W3CDTF">2026-07-16T01:44:04Z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6429F92E2B57448187D463DE88F30590</vt:lpwstr>
  </property>
</Properties>
</file>