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bookmarkStart w:id="0" w:name="OLE_LINK1"/>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粤府土审（17）〔202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65</w:t>
      </w:r>
      <w:r>
        <w:rPr>
          <w:rFonts w:hint="default" w:ascii="Times New Roman" w:hAnsi="Times New Roman" w:eastAsia="仿宋_GB2312" w:cs="Times New Roman"/>
          <w:sz w:val="32"/>
          <w:szCs w:val="32"/>
        </w:rPr>
        <w:t>号</w:t>
      </w:r>
    </w:p>
    <w:p>
      <w:pPr>
        <w:keepNext w:val="0"/>
        <w:keepLines w:val="0"/>
        <w:pageBreakBefore w:val="0"/>
        <w:widowControl w:val="0"/>
        <w:kinsoku/>
        <w:overflowPunct/>
        <w:topLinePunct w:val="0"/>
        <w:autoSpaceDE/>
        <w:autoSpaceDN/>
        <w:bidi w:val="0"/>
        <w:adjustRightInd w:val="0"/>
        <w:snapToGrid w:val="0"/>
        <w:spacing w:line="590" w:lineRule="exact"/>
        <w:ind w:left="0" w:right="0"/>
        <w:jc w:val="both"/>
        <w:textAlignment w:val="auto"/>
        <w:rPr>
          <w:rFonts w:hint="eastAsia" w:ascii="仿宋_GB2312" w:hAnsi="仿宋_GB2312" w:eastAsia="仿宋_GB2312" w:cs="仿宋_GB2312"/>
          <w:sz w:val="42"/>
          <w:szCs w:val="44"/>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sz w:val="44"/>
          <w:szCs w:val="44"/>
        </w:rPr>
      </w:pPr>
      <w:r>
        <w:rPr>
          <w:rFonts w:hint="eastAsia" w:ascii="方正小标宋简体" w:hAnsi="方正小标宋简体" w:eastAsia="方正小标宋简体" w:cs="方正小标宋简体"/>
          <w:sz w:val="44"/>
          <w:szCs w:val="44"/>
        </w:rPr>
        <w:t>广</w:t>
      </w:r>
      <w:r>
        <w:rPr>
          <w:rFonts w:hint="default" w:ascii="Times New Roman" w:hAnsi="Times New Roman" w:eastAsia="方正小标宋简体" w:cs="Times New Roman"/>
          <w:sz w:val="44"/>
          <w:szCs w:val="44"/>
        </w:rPr>
        <w:t>东省人民政府</w:t>
      </w:r>
      <w:r>
        <w:rPr>
          <w:rFonts w:hint="default" w:ascii="Times New Roman" w:hAnsi="Times New Roman" w:eastAsia="方正小标宋简体" w:cs="Times New Roman"/>
          <w:sz w:val="44"/>
          <w:szCs w:val="44"/>
          <w:lang w:val="en-US" w:eastAsia="zh-CN"/>
        </w:rPr>
        <w:t>关于</w:t>
      </w:r>
      <w:r>
        <w:rPr>
          <w:rFonts w:hint="default" w:ascii="Times New Roman" w:hAnsi="Times New Roman" w:eastAsia="方正小标宋简体" w:cs="Times New Roman"/>
          <w:sz w:val="44"/>
          <w:szCs w:val="44"/>
        </w:rPr>
        <w:t>高州市2024年度</w:t>
      </w: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sz w:val="44"/>
          <w:szCs w:val="44"/>
        </w:rPr>
        <w:t>第</w:t>
      </w:r>
      <w:r>
        <w:rPr>
          <w:rFonts w:hint="default" w:ascii="Times New Roman" w:hAnsi="Times New Roman" w:eastAsia="方正小标宋简体" w:cs="Times New Roman"/>
          <w:sz w:val="44"/>
          <w:szCs w:val="44"/>
          <w:lang w:val="en-US" w:eastAsia="zh-CN"/>
        </w:rPr>
        <w:t>十四</w:t>
      </w:r>
      <w:r>
        <w:rPr>
          <w:rFonts w:hint="default" w:ascii="Times New Roman" w:hAnsi="Times New Roman" w:eastAsia="方正小标宋简体" w:cs="Times New Roman"/>
          <w:sz w:val="44"/>
          <w:szCs w:val="44"/>
        </w:rPr>
        <w:t>批次城镇建设用地</w:t>
      </w:r>
      <w:r>
        <w:rPr>
          <w:rFonts w:hint="default" w:ascii="Times New Roman" w:hAnsi="Times New Roman" w:eastAsia="方正小标宋简体" w:cs="Times New Roman"/>
          <w:sz w:val="44"/>
          <w:szCs w:val="44"/>
          <w:lang w:val="en-US" w:eastAsia="zh-CN"/>
        </w:rPr>
        <w:t>的批复</w:t>
      </w:r>
    </w:p>
    <w:bookmarkEnd w:id="0"/>
    <w:p>
      <w:pPr>
        <w:keepNext w:val="0"/>
        <w:keepLines w:val="0"/>
        <w:pageBreakBefore w:val="0"/>
        <w:widowControl w:val="0"/>
        <w:kinsoku/>
        <w:overflowPunct/>
        <w:topLinePunct w:val="0"/>
        <w:autoSpaceDE/>
        <w:autoSpaceDN/>
        <w:bidi w:val="0"/>
        <w:adjustRightInd w:val="0"/>
        <w:spacing w:line="590" w:lineRule="exact"/>
        <w:ind w:left="0" w:right="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val="0"/>
        <w:spacing w:line="590" w:lineRule="exact"/>
        <w:ind w:left="0" w:right="0"/>
        <w:jc w:val="both"/>
        <w:textAlignment w:val="auto"/>
        <w:rPr>
          <w:rFonts w:hint="eastAsia" w:ascii="仿宋_GB2312" w:hAnsi="仿宋_GB2312" w:eastAsia="仿宋_GB2312" w:cs="仿宋_GB2312"/>
          <w:sz w:val="32"/>
          <w:szCs w:val="32"/>
        </w:rPr>
      </w:pPr>
      <w:r>
        <w:rPr>
          <w:rFonts w:hint="eastAsia" w:ascii="仿宋_GB2312" w:eastAsia="仿宋_GB2312"/>
          <w:color w:val="auto"/>
          <w:sz w:val="32"/>
          <w:szCs w:val="32"/>
          <w:lang w:val="en-US" w:eastAsia="zh-CN"/>
        </w:rPr>
        <w:t>高州市人民政府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《关于审批</w:t>
      </w:r>
      <w:r>
        <w:rPr>
          <w:rFonts w:hint="default" w:ascii="Times New Roman" w:hAnsi="Times New Roman" w:eastAsia="仿宋_GB2312" w:cs="Times New Roman"/>
          <w:sz w:val="32"/>
          <w:szCs w:val="32"/>
          <w:lang w:val="en-US" w:eastAsia="zh-CN"/>
        </w:rPr>
        <w:t>高州市2024年度第</w:t>
      </w:r>
      <w:r>
        <w:rPr>
          <w:rFonts w:hint="eastAsia" w:ascii="Times New Roman" w:hAnsi="Times New Roman" w:eastAsia="仿宋_GB2312" w:cs="Times New Roman"/>
          <w:sz w:val="32"/>
          <w:szCs w:val="32"/>
          <w:lang w:val="en-US" w:eastAsia="zh-CN"/>
        </w:rPr>
        <w:t>十四</w:t>
      </w:r>
      <w:r>
        <w:rPr>
          <w:rFonts w:hint="default" w:ascii="Times New Roman" w:hAnsi="Times New Roman" w:eastAsia="仿宋_GB2312" w:cs="Times New Roman"/>
          <w:sz w:val="32"/>
          <w:szCs w:val="32"/>
          <w:lang w:val="en-US" w:eastAsia="zh-CN"/>
        </w:rPr>
        <w:t>批次城镇建设用地</w:t>
      </w:r>
      <w:r>
        <w:rPr>
          <w:rFonts w:hint="default" w:ascii="Times New Roman" w:hAnsi="Times New Roman" w:eastAsia="仿宋_GB2312" w:cs="Times New Roman"/>
          <w:sz w:val="32"/>
          <w:szCs w:val="32"/>
        </w:rPr>
        <w:t>的请示》（</w:t>
      </w:r>
      <w:r>
        <w:rPr>
          <w:rFonts w:hint="eastAsia" w:ascii="Times New Roman" w:hAnsi="Times New Roman" w:eastAsia="仿宋_GB2312" w:cs="Times New Roman"/>
          <w:sz w:val="32"/>
          <w:szCs w:val="32"/>
          <w:lang w:val="en-US" w:eastAsia="zh-CN"/>
        </w:rPr>
        <w:t>高</w:t>
      </w:r>
      <w:r>
        <w:rPr>
          <w:rFonts w:hint="default" w:ascii="Times New Roman" w:hAnsi="Times New Roman" w:eastAsia="仿宋_GB2312" w:cs="Times New Roman"/>
          <w:sz w:val="32"/>
          <w:szCs w:val="32"/>
        </w:rPr>
        <w:t>自然资请</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332</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sz w:val="32"/>
          <w:szCs w:val="32"/>
        </w:rPr>
        <w:t>）及相关材料已通过审核。根据《中华人民共和国土地管理法》第四十四条</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四十六条的有关规定，批复如下：</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一、同意上报的农用地转用方案和征收土地</w:t>
      </w:r>
      <w:r>
        <w:rPr>
          <w:rFonts w:hint="default" w:ascii="Times New Roman" w:hAnsi="Times New Roman" w:eastAsia="仿宋_GB2312" w:cs="Times New Roman"/>
          <w:sz w:val="32"/>
          <w:szCs w:val="32"/>
          <w:lang w:val="en-US" w:eastAsia="zh-CN"/>
        </w:rPr>
        <w:t>的申请</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rPr>
        <w:t>同意你</w:t>
      </w:r>
      <w:r>
        <w:rPr>
          <w:rFonts w:hint="default" w:ascii="Times New Roman" w:hAnsi="Times New Roman" w:eastAsia="仿宋_GB2312" w:cs="Times New Roman"/>
          <w:color w:val="auto"/>
          <w:sz w:val="32"/>
          <w:lang w:val="en-US" w:eastAsia="zh-CN"/>
        </w:rPr>
        <w:t>市将</w:t>
      </w:r>
      <w:r>
        <w:rPr>
          <w:rFonts w:hint="eastAsia" w:ascii="Times New Roman" w:hAnsi="Times New Roman" w:eastAsia="仿宋_GB2312" w:cs="Times New Roman"/>
          <w:color w:val="auto"/>
          <w:sz w:val="32"/>
          <w:lang w:val="en-US" w:eastAsia="zh-CN"/>
        </w:rPr>
        <w:t>石仔岭街道茂岭村</w:t>
      </w:r>
      <w:r>
        <w:rPr>
          <w:rFonts w:hint="default" w:ascii="Times New Roman" w:hAnsi="Times New Roman" w:eastAsia="仿宋_GB2312" w:cs="Times New Roman"/>
          <w:color w:val="auto"/>
          <w:sz w:val="32"/>
          <w:lang w:val="en-US" w:eastAsia="zh-CN"/>
        </w:rPr>
        <w:drawing>
          <wp:inline distT="0" distB="0" distL="114300" distR="114300">
            <wp:extent cx="182880" cy="181610"/>
            <wp:effectExtent l="0" t="0" r="7620"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182880" cy="181610"/>
                    </a:xfrm>
                    <a:prstGeom prst="rect">
                      <a:avLst/>
                    </a:prstGeom>
                    <a:noFill/>
                    <a:ln>
                      <a:noFill/>
                    </a:ln>
                  </pic:spPr>
                </pic:pic>
              </a:graphicData>
            </a:graphic>
          </wp:inline>
        </w:drawing>
      </w:r>
      <w:r>
        <w:rPr>
          <w:rFonts w:hint="eastAsia" w:ascii="Times New Roman" w:hAnsi="Times New Roman" w:eastAsia="仿宋_GB2312" w:cs="Times New Roman"/>
          <w:color w:val="auto"/>
          <w:sz w:val="32"/>
          <w:lang w:val="en-US" w:eastAsia="zh-CN"/>
        </w:rPr>
        <w:t>一、</w:t>
      </w:r>
      <w:r>
        <w:rPr>
          <w:rFonts w:hint="default" w:ascii="Times New Roman" w:hAnsi="Times New Roman" w:eastAsia="仿宋_GB2312" w:cs="Times New Roman"/>
          <w:color w:val="auto"/>
          <w:sz w:val="32"/>
          <w:lang w:val="en-US" w:eastAsia="zh-CN"/>
        </w:rPr>
        <w:drawing>
          <wp:inline distT="0" distB="0" distL="114300" distR="114300">
            <wp:extent cx="182880" cy="181610"/>
            <wp:effectExtent l="0" t="0" r="7620" b="889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182880" cy="181610"/>
                    </a:xfrm>
                    <a:prstGeom prst="rect">
                      <a:avLst/>
                    </a:prstGeom>
                    <a:noFill/>
                    <a:ln>
                      <a:noFill/>
                    </a:ln>
                  </pic:spPr>
                </pic:pic>
              </a:graphicData>
            </a:graphic>
          </wp:inline>
        </w:drawing>
      </w:r>
      <w:r>
        <w:rPr>
          <w:rFonts w:hint="eastAsia" w:ascii="Times New Roman" w:hAnsi="Times New Roman" w:eastAsia="仿宋_GB2312" w:cs="Times New Roman"/>
          <w:color w:val="auto"/>
          <w:sz w:val="32"/>
          <w:lang w:val="en-US" w:eastAsia="zh-CN"/>
        </w:rPr>
        <w:t>二、</w:t>
      </w:r>
      <w:r>
        <w:rPr>
          <w:rFonts w:hint="default" w:ascii="Times New Roman" w:hAnsi="Times New Roman" w:eastAsia="仿宋_GB2312" w:cs="Times New Roman"/>
          <w:color w:val="auto"/>
          <w:sz w:val="32"/>
          <w:lang w:val="en-US" w:eastAsia="zh-CN"/>
        </w:rPr>
        <w:drawing>
          <wp:inline distT="0" distB="0" distL="114300" distR="114300">
            <wp:extent cx="182880" cy="181610"/>
            <wp:effectExtent l="0" t="0" r="7620" b="88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6"/>
                    <a:stretch>
                      <a:fillRect/>
                    </a:stretch>
                  </pic:blipFill>
                  <pic:spPr>
                    <a:xfrm>
                      <a:off x="0" y="0"/>
                      <a:ext cx="182880" cy="181610"/>
                    </a:xfrm>
                    <a:prstGeom prst="rect">
                      <a:avLst/>
                    </a:prstGeom>
                    <a:noFill/>
                    <a:ln>
                      <a:noFill/>
                    </a:ln>
                  </pic:spPr>
                </pic:pic>
              </a:graphicData>
            </a:graphic>
          </wp:inline>
        </w:drawing>
      </w:r>
      <w:r>
        <w:rPr>
          <w:rFonts w:hint="eastAsia" w:ascii="Times New Roman" w:hAnsi="Times New Roman" w:eastAsia="仿宋_GB2312" w:cs="Times New Roman"/>
          <w:color w:val="auto"/>
          <w:sz w:val="32"/>
          <w:lang w:val="en-US" w:eastAsia="zh-CN"/>
        </w:rPr>
        <w:t>三、会陂一、会陂二、杨二、杨三、杨五、杨六经济合作社</w:t>
      </w:r>
      <w:r>
        <w:rPr>
          <w:rFonts w:hint="default" w:ascii="Times New Roman" w:hAnsi="Times New Roman" w:eastAsia="仿宋_GB2312" w:cs="Times New Roman"/>
          <w:color w:val="auto"/>
          <w:sz w:val="32"/>
          <w:lang w:val="en-US" w:eastAsia="zh-CN"/>
        </w:rPr>
        <w:t>属下的集体农用地</w:t>
      </w:r>
      <w:r>
        <w:rPr>
          <w:rFonts w:hint="eastAsia" w:ascii="Times New Roman" w:hAnsi="Times New Roman" w:eastAsia="仿宋_GB2312" w:cs="Times New Roman"/>
          <w:color w:val="auto"/>
          <w:sz w:val="32"/>
          <w:lang w:val="en-US" w:eastAsia="zh-CN"/>
        </w:rPr>
        <w:t>11.5811</w:t>
      </w:r>
      <w:r>
        <w:rPr>
          <w:rFonts w:hint="default" w:ascii="Times New Roman" w:hAnsi="Times New Roman" w:eastAsia="仿宋_GB2312" w:cs="Times New Roman"/>
          <w:color w:val="auto"/>
          <w:sz w:val="32"/>
          <w:lang w:val="en-US" w:eastAsia="zh-CN"/>
        </w:rPr>
        <w:t>公顷（</w:t>
      </w:r>
      <w:r>
        <w:rPr>
          <w:rFonts w:hint="eastAsia" w:ascii="Times New Roman" w:hAnsi="Times New Roman" w:eastAsia="仿宋_GB2312" w:cs="Times New Roman"/>
          <w:color w:val="auto"/>
          <w:sz w:val="32"/>
          <w:lang w:val="en-US" w:eastAsia="zh-CN"/>
        </w:rPr>
        <w:t>耕地9.8285公顷、含水田9.5389公顷，园地0.6094公顷，林地0.3543公顷，其他农用地0.7889公顷</w:t>
      </w:r>
      <w:r>
        <w:rPr>
          <w:rFonts w:hint="default" w:ascii="Times New Roman" w:hAnsi="Times New Roman" w:eastAsia="仿宋_GB2312" w:cs="Times New Roman"/>
          <w:color w:val="auto"/>
          <w:sz w:val="32"/>
          <w:lang w:val="en-US" w:eastAsia="zh-CN"/>
        </w:rPr>
        <w:t>）</w:t>
      </w:r>
      <w:r>
        <w:rPr>
          <w:rFonts w:hint="default" w:ascii="Times New Roman" w:hAnsi="Times New Roman" w:eastAsia="仿宋_GB2312" w:cs="Times New Roman"/>
          <w:color w:val="auto"/>
          <w:sz w:val="32"/>
          <w:szCs w:val="32"/>
        </w:rPr>
        <w:t>转为建设用地</w:t>
      </w:r>
      <w:r>
        <w:rPr>
          <w:rFonts w:hint="default" w:ascii="Times New Roman" w:hAnsi="Times New Roman" w:eastAsia="仿宋_GB2312" w:cs="Times New Roman"/>
          <w:sz w:val="32"/>
          <w:szCs w:val="32"/>
          <w:lang w:val="en-US" w:eastAsia="zh-CN"/>
        </w:rPr>
        <w:t>，以上合计</w:t>
      </w:r>
      <w:r>
        <w:rPr>
          <w:rFonts w:hint="eastAsia" w:ascii="Times New Roman" w:hAnsi="Times New Roman" w:eastAsia="仿宋_GB2312" w:cs="Times New Roman"/>
          <w:sz w:val="32"/>
          <w:szCs w:val="32"/>
          <w:lang w:val="en-US" w:eastAsia="zh-CN"/>
        </w:rPr>
        <w:t>11.5811</w:t>
      </w:r>
      <w:r>
        <w:rPr>
          <w:rFonts w:hint="default" w:ascii="Times New Roman" w:hAnsi="Times New Roman" w:eastAsia="仿宋_GB2312" w:cs="Times New Roman"/>
          <w:sz w:val="32"/>
          <w:szCs w:val="32"/>
          <w:lang w:val="en-US" w:eastAsia="zh-CN"/>
        </w:rPr>
        <w:t>公顷集体土地一并办理征地手续</w:t>
      </w:r>
      <w:r>
        <w:rPr>
          <w:rFonts w:hint="default" w:ascii="Times New Roman" w:hAnsi="Times New Roman" w:eastAsia="仿宋_GB2312" w:cs="Times New Roman"/>
          <w:color w:val="auto"/>
          <w:sz w:val="32"/>
          <w:szCs w:val="32"/>
          <w:lang w:val="en-US" w:eastAsia="zh-CN"/>
        </w:rPr>
        <w:t>。上述土地经完善相关手续后依照规划安排作为</w:t>
      </w:r>
      <w:r>
        <w:rPr>
          <w:rFonts w:hint="default" w:ascii="Times New Roman" w:hAnsi="Times New Roman" w:eastAsia="仿宋_GB2312" w:cs="Times New Roman"/>
          <w:sz w:val="32"/>
          <w:szCs w:val="32"/>
          <w:lang w:val="en-US" w:eastAsia="zh-CN"/>
        </w:rPr>
        <w:t>高州市城镇建设用地，用于</w:t>
      </w:r>
      <w:r>
        <w:rPr>
          <w:rFonts w:hint="eastAsia" w:ascii="Times New Roman" w:hAnsi="Times New Roman" w:eastAsia="仿宋_GB2312" w:cs="Times New Roman"/>
          <w:sz w:val="32"/>
          <w:szCs w:val="32"/>
          <w:lang w:val="en-US" w:eastAsia="zh-CN"/>
        </w:rPr>
        <w:t>居住、公共管理与公共服务、交通运输</w:t>
      </w:r>
      <w:r>
        <w:rPr>
          <w:rFonts w:hint="default" w:ascii="Times New Roman" w:hAnsi="Times New Roman" w:eastAsia="仿宋_GB2312" w:cs="Times New Roman"/>
          <w:sz w:val="32"/>
          <w:szCs w:val="32"/>
          <w:lang w:val="en-US" w:eastAsia="zh-CN"/>
        </w:rPr>
        <w:t>用途。</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二、该批次用地在</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总体规划中安排为城乡建设用地，供地时土地用途应与</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总体规划中的规划安排相符；同时，供地方式、供地规模、供地标准等应严格按照国家和省的有关规定执行，切实做到节约集约用地。</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w:t>
      </w:r>
      <w:r>
        <w:rPr>
          <w:rFonts w:hint="eastAsia" w:ascii="仿宋_GB2312" w:eastAsia="仿宋_GB2312"/>
          <w:color w:val="auto"/>
          <w:sz w:val="32"/>
          <w:szCs w:val="32"/>
          <w:lang w:val="en-US" w:eastAsia="zh-CN"/>
        </w:rPr>
        <w:t>该批次用地对应核销耕地数量和标准粮食产能指标（确认信息</w:t>
      </w:r>
      <w:r>
        <w:rPr>
          <w:rFonts w:hint="eastAsia" w:ascii="Times New Roman" w:hAnsi="Times New Roman" w:eastAsia="仿宋_GB2312" w:cs="Times New Roman"/>
          <w:color w:val="auto"/>
          <w:sz w:val="32"/>
          <w:lang w:val="en-US" w:eastAsia="zh-CN"/>
        </w:rPr>
        <w:t>编号：440000202530075851）</w:t>
      </w:r>
      <w:r>
        <w:rPr>
          <w:rFonts w:hint="eastAsia" w:ascii="仿宋_GB2312" w:eastAsia="仿宋_GB2312"/>
          <w:color w:val="auto"/>
          <w:sz w:val="32"/>
          <w:szCs w:val="32"/>
          <w:lang w:val="en-US" w:eastAsia="zh-CN"/>
        </w:rPr>
        <w:t>，已落实占补平衡。</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宋体" w:eastAsia="仿宋_GB2312"/>
          <w:sz w:val="32"/>
          <w:szCs w:val="32"/>
        </w:rPr>
        <w:t>请</w:t>
      </w:r>
      <w:r>
        <w:rPr>
          <w:rFonts w:ascii="仿宋_GB2312" w:hAnsi="宋体" w:eastAsia="仿宋_GB2312"/>
          <w:sz w:val="32"/>
          <w:szCs w:val="32"/>
        </w:rPr>
        <w:t>按照</w:t>
      </w:r>
      <w:r>
        <w:rPr>
          <w:rFonts w:hint="eastAsia" w:ascii="仿宋_GB2312" w:hAnsi="宋体" w:eastAsia="仿宋_GB2312"/>
          <w:sz w:val="32"/>
          <w:szCs w:val="32"/>
        </w:rPr>
        <w:t>《</w:t>
      </w:r>
      <w:r>
        <w:rPr>
          <w:rFonts w:hint="eastAsia" w:ascii="仿宋_GB2312" w:hAnsi="仿宋_GB2312" w:eastAsia="仿宋_GB2312" w:cs="仿宋_GB2312"/>
          <w:sz w:val="32"/>
          <w:szCs w:val="32"/>
        </w:rPr>
        <w:t>中华人民共和国土地管理</w:t>
      </w:r>
      <w:r>
        <w:rPr>
          <w:rFonts w:hint="eastAsia" w:ascii="仿宋_GB2312" w:hAnsi="仿宋_GB2312" w:eastAsia="仿宋_GB2312" w:cs="仿宋_GB2312"/>
          <w:sz w:val="32"/>
          <w:szCs w:val="32"/>
          <w:lang w:val="en-US" w:eastAsia="zh-CN"/>
        </w:rPr>
        <w:t>法</w:t>
      </w:r>
      <w:r>
        <w:rPr>
          <w:rFonts w:hint="eastAsia" w:ascii="仿宋_GB2312" w:hAnsi="宋体" w:eastAsia="仿宋_GB2312"/>
          <w:sz w:val="32"/>
          <w:szCs w:val="32"/>
        </w:rPr>
        <w:t>》有关规定，严格履行征地批后实施程序，及时足额支付补偿费用，安排被征地农民的社会保障费用，落实安置措施，妥善解决好被征地农民的生产和生活，保证原有水平不降低，长远生计有保障。征地补偿安置不落实的，不得动工用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你市相关不动产登记机构依此办理集体土地所有权注销或变更登记。</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w:t>
      </w:r>
      <w:r>
        <w:rPr>
          <w:rFonts w:hint="eastAsia" w:ascii="仿宋_GB2312" w:hAnsi="仿宋_GB2312" w:eastAsia="仿宋_GB2312"/>
          <w:sz w:val="32"/>
          <w:szCs w:val="32"/>
          <w:lang w:val="en-US" w:eastAsia="zh-CN"/>
        </w:rPr>
        <w:t>严格按照国家有关规定征收新增建设用地土地有偿使用费</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、征地批后实施情况连同经批准的征地补偿安置方案和具体项目供地情况须按规定报备。</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广东省人民政府</w:t>
      </w: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default" w:ascii="仿宋_GB2312" w:hAnsi="仿宋_GB2312" w:eastAsia="仿宋_GB2312" w:cs="仿宋_GB2312"/>
          <w:sz w:val="32"/>
          <w:lang w:val="en-US" w:eastAsia="zh-CN"/>
        </w:rPr>
      </w:pPr>
      <w:r>
        <w:rPr>
          <w:rFonts w:hint="default" w:ascii="Times New Roman" w:hAnsi="Times New Roman" w:eastAsia="仿宋_GB2312" w:cs="Times New Roman"/>
          <w:color w:val="auto"/>
          <w:sz w:val="32"/>
        </w:rPr>
        <w:t>20</w:t>
      </w:r>
      <w:r>
        <w:rPr>
          <w:rFonts w:hint="default" w:ascii="Times New Roman" w:hAnsi="Times New Roman" w:eastAsia="仿宋_GB2312" w:cs="Times New Roman"/>
          <w:color w:val="auto"/>
          <w:sz w:val="32"/>
          <w:lang w:val="en-US" w:eastAsia="zh-CN"/>
        </w:rPr>
        <w:t>2</w:t>
      </w:r>
      <w:r>
        <w:rPr>
          <w:rFonts w:hint="eastAsia"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rPr>
        <w:t>年</w:t>
      </w:r>
      <w:r>
        <w:rPr>
          <w:rFonts w:hint="eastAsia" w:ascii="Times New Roman" w:hAnsi="Times New Roman" w:eastAsia="仿宋_GB2312" w:cs="Times New Roman"/>
          <w:color w:val="auto"/>
          <w:sz w:val="32"/>
          <w:lang w:val="en-US" w:eastAsia="zh-CN"/>
        </w:rPr>
        <w:t>8</w:t>
      </w:r>
      <w:r>
        <w:rPr>
          <w:rFonts w:hint="default" w:ascii="Times New Roman" w:hAnsi="Times New Roman" w:eastAsia="仿宋_GB2312" w:cs="Times New Roman"/>
          <w:color w:val="auto"/>
          <w:sz w:val="32"/>
        </w:rPr>
        <w:t>月</w:t>
      </w:r>
      <w:r>
        <w:rPr>
          <w:rFonts w:hint="eastAsia" w:ascii="Times New Roman" w:hAnsi="Times New Roman" w:eastAsia="仿宋_GB2312" w:cs="Times New Roman"/>
          <w:color w:val="auto"/>
          <w:sz w:val="32"/>
          <w:lang w:val="en-US" w:eastAsia="zh-CN"/>
        </w:rPr>
        <w:t>31</w:t>
      </w:r>
      <w:r>
        <w:rPr>
          <w:rFonts w:hint="eastAsia" w:ascii="仿宋_GB2312" w:hAnsi="仿宋_GB2312" w:eastAsia="仿宋_GB2312" w:cs="仿宋_GB2312"/>
          <w:sz w:val="32"/>
          <w:lang w:val="en-US" w:eastAsia="zh-CN"/>
        </w:rPr>
        <w:t>日</w:t>
      </w: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bookmarkStart w:id="1" w:name="_GoBack"/>
      <w:bookmarkEnd w:id="1"/>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仿宋_GB2312" w:hAnsi="Calibri" w:eastAsia="仿宋_GB2312" w:cs="Times New Roman"/>
          <w:sz w:val="32"/>
          <w:szCs w:val="32"/>
          <w:lang w:val="en-US" w:eastAsia="zh-CN"/>
        </w:rPr>
      </w:pPr>
      <w:r>
        <w:rPr>
          <w:rFonts w:hint="eastAsia" w:ascii="黑体" w:hAnsi="黑体" w:eastAsia="黑体" w:cs="黑体"/>
          <w:sz w:val="32"/>
          <w:szCs w:val="32"/>
          <w:lang w:val="en-US" w:eastAsia="zh-CN"/>
        </w:rPr>
        <w:t>公开方式：</w:t>
      </w:r>
      <w:r>
        <w:rPr>
          <w:rFonts w:hint="eastAsia" w:ascii="仿宋_GB2312" w:hAnsi="Calibri" w:eastAsia="仿宋_GB2312" w:cs="Times New Roman"/>
          <w:sz w:val="32"/>
          <w:szCs w:val="32"/>
          <w:lang w:val="en-US" w:eastAsia="zh-CN"/>
        </w:rPr>
        <w:t>主动公开</w:t>
      </w:r>
    </w:p>
    <w:p>
      <w:pPr>
        <w:keepNext w:val="0"/>
        <w:keepLines w:val="0"/>
        <w:pageBreakBefore w:val="0"/>
        <w:widowControl w:val="0"/>
        <w:kinsoku/>
        <w:overflowPunct/>
        <w:topLinePunct w:val="0"/>
        <w:autoSpaceDE/>
        <w:autoSpaceDN/>
        <w:bidi w:val="0"/>
        <w:adjustRightInd w:val="0"/>
        <w:spacing w:line="590" w:lineRule="exact"/>
        <w:ind w:left="0" w:right="0" w:hanging="840" w:hangingChars="300"/>
        <w:textAlignment w:val="auto"/>
        <w:rPr>
          <w:rFonts w:hint="default"/>
          <w:color w:val="000000" w:themeColor="text1"/>
          <w:sz w:val="28"/>
          <w:szCs w:val="28"/>
          <w:lang w:val="en-US" w:eastAsia="zh-CN"/>
          <w14:textFill>
            <w14:solidFill>
              <w14:schemeClr w14:val="tx1"/>
            </w14:solidFill>
          </w14:textFill>
        </w:rPr>
      </w:pPr>
      <w:r>
        <w:rPr>
          <w:rFonts w:hint="eastAsia" w:ascii="仿宋_GB2312" w:eastAsia="仿宋_GB2312"/>
          <w:sz w:val="28"/>
          <w:szCs w:val="28"/>
        </w:rPr>
        <w:t>抄送：国家自然资源督察广州局、财政部广东监管局、</w:t>
      </w:r>
      <w:r>
        <w:rPr>
          <w:rFonts w:ascii="仿宋_GB2312" w:eastAsia="仿宋_GB2312"/>
          <w:sz w:val="28"/>
          <w:szCs w:val="28"/>
        </w:rPr>
        <w:t>省财政厅、省人力资源和社会保障厅、省自然资源厅</w:t>
      </w:r>
      <w:r>
        <w:rPr>
          <w:rFonts w:hint="eastAsia" w:ascii="仿宋_GB2312" w:eastAsia="仿宋_GB2312"/>
          <w:sz w:val="28"/>
          <w:szCs w:val="28"/>
          <w:lang w:eastAsia="zh-CN"/>
        </w:rPr>
        <w:t>、</w:t>
      </w:r>
      <w:r>
        <w:rPr>
          <w:rFonts w:ascii="仿宋_GB2312" w:eastAsia="仿宋_GB2312"/>
          <w:sz w:val="28"/>
          <w:szCs w:val="28"/>
        </w:rPr>
        <w:t>省农业农村厅、国家税务总局广东省税务局</w:t>
      </w:r>
      <w:r>
        <w:rPr>
          <w:rFonts w:hint="eastAsia" w:ascii="仿宋_GB2312" w:eastAsia="仿宋_GB2312"/>
          <w:sz w:val="28"/>
          <w:szCs w:val="28"/>
          <w:lang w:val="en-US" w:eastAsia="zh-CN"/>
        </w:rPr>
        <w:t>，茂名市财政局、税务局、人力资源和社会保障局、农业农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hAnsi="仿宋_GB2312" w:eastAsia="仿宋_GB2312" w:cs="仿宋_GB2312"/>
          <w:color w:val="auto"/>
          <w:sz w:val="28"/>
          <w:szCs w:val="28"/>
          <w:lang w:val="en-US" w:eastAsia="zh-CN"/>
        </w:rPr>
        <w:t>高州市人民政府，高州市自然资源局、财政局、税务局、人力资源和社会保障局、</w:t>
      </w:r>
      <w:r>
        <w:rPr>
          <w:rFonts w:hint="eastAsia" w:ascii="仿宋_GB2312" w:eastAsia="仿宋_GB2312"/>
          <w:sz w:val="28"/>
          <w:szCs w:val="28"/>
          <w:lang w:val="en-US" w:eastAsia="zh-CN"/>
        </w:rPr>
        <w:t>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eastAsia="仿宋_GB2312"/>
          <w:color w:val="auto"/>
          <w:sz w:val="28"/>
          <w:szCs w:val="28"/>
        </w:rPr>
        <w:t>。</w:t>
      </w:r>
    </w:p>
    <w:sectPr>
      <w:footerReference r:id="rId3" w:type="default"/>
      <w:footerReference r:id="rId4" w:type="even"/>
      <w:pgSz w:w="11906" w:h="16838"/>
      <w:pgMar w:top="1984" w:right="1531" w:bottom="1871" w:left="1531" w:header="851" w:footer="90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RkMzkyMTVhMzAxMDNlMjBlMjQ1ZTkzZjMwMzkifQ=="/>
  </w:docVars>
  <w:rsids>
    <w:rsidRoot w:val="00000000"/>
    <w:rsid w:val="006360BD"/>
    <w:rsid w:val="01266909"/>
    <w:rsid w:val="015A0493"/>
    <w:rsid w:val="025A58C2"/>
    <w:rsid w:val="029B468A"/>
    <w:rsid w:val="02A86037"/>
    <w:rsid w:val="02FC45A7"/>
    <w:rsid w:val="031610CA"/>
    <w:rsid w:val="03266560"/>
    <w:rsid w:val="03596A05"/>
    <w:rsid w:val="03E56DE9"/>
    <w:rsid w:val="048E39A2"/>
    <w:rsid w:val="04D020B9"/>
    <w:rsid w:val="05453C6C"/>
    <w:rsid w:val="068F571E"/>
    <w:rsid w:val="069A035E"/>
    <w:rsid w:val="06A80709"/>
    <w:rsid w:val="06AA52CC"/>
    <w:rsid w:val="07724E37"/>
    <w:rsid w:val="07BB2321"/>
    <w:rsid w:val="07E31AA8"/>
    <w:rsid w:val="086F1377"/>
    <w:rsid w:val="09094CCF"/>
    <w:rsid w:val="09C138F8"/>
    <w:rsid w:val="0B04049C"/>
    <w:rsid w:val="0B431F7A"/>
    <w:rsid w:val="0B5D4202"/>
    <w:rsid w:val="0BA27463"/>
    <w:rsid w:val="0BF12EB5"/>
    <w:rsid w:val="0C6B0298"/>
    <w:rsid w:val="0F077E3D"/>
    <w:rsid w:val="0F2759F0"/>
    <w:rsid w:val="0F3E4826"/>
    <w:rsid w:val="0F44404A"/>
    <w:rsid w:val="0F703D2D"/>
    <w:rsid w:val="108F6D40"/>
    <w:rsid w:val="10F5503A"/>
    <w:rsid w:val="121E7F24"/>
    <w:rsid w:val="1243207B"/>
    <w:rsid w:val="125C5384"/>
    <w:rsid w:val="128D1C0C"/>
    <w:rsid w:val="129E2914"/>
    <w:rsid w:val="134358DA"/>
    <w:rsid w:val="138C102F"/>
    <w:rsid w:val="13FD69D7"/>
    <w:rsid w:val="14094AD3"/>
    <w:rsid w:val="1485504D"/>
    <w:rsid w:val="15766514"/>
    <w:rsid w:val="16F80451"/>
    <w:rsid w:val="177A7613"/>
    <w:rsid w:val="178B7694"/>
    <w:rsid w:val="194523AC"/>
    <w:rsid w:val="19AB2E31"/>
    <w:rsid w:val="1A280DC1"/>
    <w:rsid w:val="1AA5609E"/>
    <w:rsid w:val="1AB951FF"/>
    <w:rsid w:val="1AF64ED6"/>
    <w:rsid w:val="1C6D01A4"/>
    <w:rsid w:val="1DA87FC1"/>
    <w:rsid w:val="1DBC4C07"/>
    <w:rsid w:val="1DE75E43"/>
    <w:rsid w:val="1E180CAF"/>
    <w:rsid w:val="1EB74AE5"/>
    <w:rsid w:val="1EE3534D"/>
    <w:rsid w:val="1EF54D6B"/>
    <w:rsid w:val="1F066139"/>
    <w:rsid w:val="20343B45"/>
    <w:rsid w:val="20B76077"/>
    <w:rsid w:val="211A0AE6"/>
    <w:rsid w:val="214E066F"/>
    <w:rsid w:val="21C20465"/>
    <w:rsid w:val="22573150"/>
    <w:rsid w:val="228A57E4"/>
    <w:rsid w:val="233F72C2"/>
    <w:rsid w:val="2426480F"/>
    <w:rsid w:val="24AB6C02"/>
    <w:rsid w:val="24EB0872"/>
    <w:rsid w:val="25853C87"/>
    <w:rsid w:val="25DB4460"/>
    <w:rsid w:val="25DF48AA"/>
    <w:rsid w:val="25E22FDA"/>
    <w:rsid w:val="264E6EFE"/>
    <w:rsid w:val="26746C34"/>
    <w:rsid w:val="26A85D28"/>
    <w:rsid w:val="27044AC7"/>
    <w:rsid w:val="27182871"/>
    <w:rsid w:val="276A122F"/>
    <w:rsid w:val="28FF76E8"/>
    <w:rsid w:val="294D2BB7"/>
    <w:rsid w:val="29B85036"/>
    <w:rsid w:val="2A7F1496"/>
    <w:rsid w:val="2AA1765E"/>
    <w:rsid w:val="2B0A0B6D"/>
    <w:rsid w:val="2B1F59D5"/>
    <w:rsid w:val="2B9351F9"/>
    <w:rsid w:val="2C492BC1"/>
    <w:rsid w:val="2C9870B8"/>
    <w:rsid w:val="2D6B7D94"/>
    <w:rsid w:val="2DB34B91"/>
    <w:rsid w:val="2ECA6F06"/>
    <w:rsid w:val="2F525488"/>
    <w:rsid w:val="3004232B"/>
    <w:rsid w:val="300D0D3E"/>
    <w:rsid w:val="304024ED"/>
    <w:rsid w:val="30823A64"/>
    <w:rsid w:val="309358C9"/>
    <w:rsid w:val="31350BDC"/>
    <w:rsid w:val="313C1E8F"/>
    <w:rsid w:val="318B7290"/>
    <w:rsid w:val="31F6764F"/>
    <w:rsid w:val="32380247"/>
    <w:rsid w:val="329554C1"/>
    <w:rsid w:val="33182487"/>
    <w:rsid w:val="33325D53"/>
    <w:rsid w:val="339064C2"/>
    <w:rsid w:val="34B12450"/>
    <w:rsid w:val="352E7D40"/>
    <w:rsid w:val="354D69D9"/>
    <w:rsid w:val="358B52EF"/>
    <w:rsid w:val="35CB084D"/>
    <w:rsid w:val="36037299"/>
    <w:rsid w:val="37071A30"/>
    <w:rsid w:val="372F2645"/>
    <w:rsid w:val="37710D57"/>
    <w:rsid w:val="380D0704"/>
    <w:rsid w:val="38E74167"/>
    <w:rsid w:val="38F44DFD"/>
    <w:rsid w:val="3905608D"/>
    <w:rsid w:val="392D7251"/>
    <w:rsid w:val="393A48CD"/>
    <w:rsid w:val="395F3BAC"/>
    <w:rsid w:val="398915D3"/>
    <w:rsid w:val="3A0403ED"/>
    <w:rsid w:val="3A132CA4"/>
    <w:rsid w:val="3A262940"/>
    <w:rsid w:val="3A4103DE"/>
    <w:rsid w:val="3AFD443D"/>
    <w:rsid w:val="3B0A7207"/>
    <w:rsid w:val="3C091B9C"/>
    <w:rsid w:val="3C106E02"/>
    <w:rsid w:val="3C7C75E3"/>
    <w:rsid w:val="3CA36C9E"/>
    <w:rsid w:val="3D910A8C"/>
    <w:rsid w:val="3E7064FD"/>
    <w:rsid w:val="40384D8C"/>
    <w:rsid w:val="40791D67"/>
    <w:rsid w:val="412919F7"/>
    <w:rsid w:val="41EA6589"/>
    <w:rsid w:val="41EB4F3D"/>
    <w:rsid w:val="4291554E"/>
    <w:rsid w:val="429A64BA"/>
    <w:rsid w:val="43005250"/>
    <w:rsid w:val="435F1B41"/>
    <w:rsid w:val="43C5687A"/>
    <w:rsid w:val="44A47886"/>
    <w:rsid w:val="45366A99"/>
    <w:rsid w:val="45DC4428"/>
    <w:rsid w:val="463663E8"/>
    <w:rsid w:val="463D4287"/>
    <w:rsid w:val="46452B9D"/>
    <w:rsid w:val="46B347B7"/>
    <w:rsid w:val="47B97F54"/>
    <w:rsid w:val="47FE5926"/>
    <w:rsid w:val="49210774"/>
    <w:rsid w:val="49874EA6"/>
    <w:rsid w:val="4A0E112E"/>
    <w:rsid w:val="4A141025"/>
    <w:rsid w:val="4A1724BB"/>
    <w:rsid w:val="4A29729B"/>
    <w:rsid w:val="4A3D4ABC"/>
    <w:rsid w:val="4A3F4A64"/>
    <w:rsid w:val="4A505026"/>
    <w:rsid w:val="4A991DD0"/>
    <w:rsid w:val="4AB314FB"/>
    <w:rsid w:val="4AC2736B"/>
    <w:rsid w:val="4AFE3EB0"/>
    <w:rsid w:val="4B086054"/>
    <w:rsid w:val="4CAD5597"/>
    <w:rsid w:val="4CFD29B0"/>
    <w:rsid w:val="4DC60EEC"/>
    <w:rsid w:val="4E823D3D"/>
    <w:rsid w:val="4E952B8F"/>
    <w:rsid w:val="4F9C7E73"/>
    <w:rsid w:val="51A72EFC"/>
    <w:rsid w:val="51D11D27"/>
    <w:rsid w:val="5203635D"/>
    <w:rsid w:val="52820CEA"/>
    <w:rsid w:val="52F2458B"/>
    <w:rsid w:val="53546D7F"/>
    <w:rsid w:val="54F94172"/>
    <w:rsid w:val="550F3292"/>
    <w:rsid w:val="5637205A"/>
    <w:rsid w:val="56C870A2"/>
    <w:rsid w:val="58043F53"/>
    <w:rsid w:val="59654457"/>
    <w:rsid w:val="5A735EB4"/>
    <w:rsid w:val="5AAB5A51"/>
    <w:rsid w:val="5ACA1EE3"/>
    <w:rsid w:val="5B2A1903"/>
    <w:rsid w:val="5C6604C7"/>
    <w:rsid w:val="5D996FCB"/>
    <w:rsid w:val="5DB556DB"/>
    <w:rsid w:val="5DE82503"/>
    <w:rsid w:val="5E5477DE"/>
    <w:rsid w:val="5EE600E6"/>
    <w:rsid w:val="5FF22F4E"/>
    <w:rsid w:val="60376D79"/>
    <w:rsid w:val="609B2040"/>
    <w:rsid w:val="60A25F51"/>
    <w:rsid w:val="61D01368"/>
    <w:rsid w:val="62496136"/>
    <w:rsid w:val="62CB031A"/>
    <w:rsid w:val="6357554A"/>
    <w:rsid w:val="637B4F24"/>
    <w:rsid w:val="63AD3411"/>
    <w:rsid w:val="64AC6181"/>
    <w:rsid w:val="64CE6630"/>
    <w:rsid w:val="65232B9C"/>
    <w:rsid w:val="65A31233"/>
    <w:rsid w:val="65D252F3"/>
    <w:rsid w:val="660E6C4E"/>
    <w:rsid w:val="66AB422A"/>
    <w:rsid w:val="66B5723D"/>
    <w:rsid w:val="66DE1889"/>
    <w:rsid w:val="6715600C"/>
    <w:rsid w:val="67E4235D"/>
    <w:rsid w:val="68014CBD"/>
    <w:rsid w:val="6827343D"/>
    <w:rsid w:val="688574ED"/>
    <w:rsid w:val="69110A57"/>
    <w:rsid w:val="6A890F99"/>
    <w:rsid w:val="6B697A8E"/>
    <w:rsid w:val="6B70463E"/>
    <w:rsid w:val="6B870017"/>
    <w:rsid w:val="6C271134"/>
    <w:rsid w:val="6C8820B3"/>
    <w:rsid w:val="6CE93391"/>
    <w:rsid w:val="6D217FB3"/>
    <w:rsid w:val="6DF8446C"/>
    <w:rsid w:val="6F0A30DA"/>
    <w:rsid w:val="6F696A1B"/>
    <w:rsid w:val="6F7B3248"/>
    <w:rsid w:val="70206B9E"/>
    <w:rsid w:val="708154AD"/>
    <w:rsid w:val="709A21B2"/>
    <w:rsid w:val="723914F7"/>
    <w:rsid w:val="72CD2489"/>
    <w:rsid w:val="73A51AD9"/>
    <w:rsid w:val="746A1E3C"/>
    <w:rsid w:val="75410BF7"/>
    <w:rsid w:val="75DF57CD"/>
    <w:rsid w:val="75E4177A"/>
    <w:rsid w:val="76564B44"/>
    <w:rsid w:val="777A3D0F"/>
    <w:rsid w:val="77A001C7"/>
    <w:rsid w:val="77C8046B"/>
    <w:rsid w:val="77CC69A6"/>
    <w:rsid w:val="78AB2A3E"/>
    <w:rsid w:val="78CC09CF"/>
    <w:rsid w:val="79076CD4"/>
    <w:rsid w:val="794952EE"/>
    <w:rsid w:val="795B4F7D"/>
    <w:rsid w:val="79DF6C7E"/>
    <w:rsid w:val="7A0B15CC"/>
    <w:rsid w:val="7A110596"/>
    <w:rsid w:val="7A346B80"/>
    <w:rsid w:val="7A511375"/>
    <w:rsid w:val="7A74159F"/>
    <w:rsid w:val="7AA60F26"/>
    <w:rsid w:val="7B943C99"/>
    <w:rsid w:val="7BED295D"/>
    <w:rsid w:val="7CCD68C7"/>
    <w:rsid w:val="7CF43840"/>
    <w:rsid w:val="7D891CE7"/>
    <w:rsid w:val="7D8F1953"/>
    <w:rsid w:val="7E6827E9"/>
    <w:rsid w:val="7EFB2461"/>
    <w:rsid w:val="7F952444"/>
    <w:rsid w:val="7FBD52C1"/>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824</Words>
  <Characters>867</Characters>
  <Lines>0</Lines>
  <Paragraphs>0</Paragraphs>
  <TotalTime>1</TotalTime>
  <ScaleCrop>false</ScaleCrop>
  <LinksUpToDate>false</LinksUpToDate>
  <CharactersWithSpaces>871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2021-09-07T03:12:00Z</dcterms:created>
  <dc:creator>Administrator</dc:creator>
  <cp:lastModifiedBy>曾圣钧</cp:lastModifiedBy>
  <cp:lastPrinted>2025-02-18T02:36:00Z</cp:lastPrinted>
  <dcterms:modified xsi:type="dcterms:W3CDTF">2026-09-04T02:21:53Z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740E353F3C164E6BAD4DB83C9BDC3648</vt:lpwstr>
  </property>
</Properties>
</file>