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黑体" w:hAnsi="黑体" w:eastAsia="黑体" w:cs="黑体"/>
          <w:sz w:val="44"/>
          <w:szCs w:val="44"/>
        </w:rPr>
      </w:pPr>
    </w:p>
    <w:p>
      <w:pPr>
        <w:pStyle w:val="2"/>
        <w:jc w:val="center"/>
        <w:rPr>
          <w:rFonts w:hint="eastAsia" w:ascii="黑体" w:hAnsi="黑体" w:eastAsia="黑体" w:cs="黑体"/>
          <w:sz w:val="44"/>
          <w:szCs w:val="44"/>
        </w:rPr>
      </w:pPr>
      <w:r>
        <w:rPr>
          <w:rFonts w:hint="eastAsia" w:ascii="黑体" w:hAnsi="黑体" w:eastAsia="黑体" w:cs="黑体"/>
          <w:sz w:val="44"/>
          <w:szCs w:val="44"/>
        </w:rPr>
        <w:t>中华人民共和国国家发展和改革委员会令</w:t>
      </w:r>
    </w:p>
    <w:p>
      <w:pPr>
        <w:pStyle w:val="2"/>
        <w:rPr>
          <w:rFonts w:hint="eastAsia" w:ascii="Times New Roman"/>
          <w:sz w:val="20"/>
        </w:rPr>
      </w:pPr>
    </w:p>
    <w:p>
      <w:pPr>
        <w:pStyle w:val="2"/>
        <w:jc w:val="center"/>
        <w:rPr>
          <w:rFonts w:hint="eastAsia" w:ascii="黑体" w:hAnsi="黑体" w:eastAsia="黑体" w:cs="黑体"/>
          <w:sz w:val="36"/>
          <w:szCs w:val="36"/>
        </w:rPr>
      </w:pPr>
      <w:r>
        <w:rPr>
          <w:rFonts w:hint="eastAsia" w:ascii="黑体" w:hAnsi="黑体" w:eastAsia="黑体" w:cs="黑体"/>
          <w:sz w:val="36"/>
          <w:szCs w:val="36"/>
        </w:rPr>
        <w:t>第31号</w:t>
      </w:r>
    </w:p>
    <w:p>
      <w:pPr>
        <w:pStyle w:val="2"/>
        <w:rPr>
          <w:rFonts w:hint="eastAsia" w:ascii="方正仿宋简体" w:hAnsi="方正仿宋简体" w:eastAsia="方正仿宋简体" w:cs="方正仿宋简体"/>
          <w:sz w:val="32"/>
          <w:szCs w:val="32"/>
        </w:rPr>
      </w:pPr>
    </w:p>
    <w:p>
      <w:pPr>
        <w:pStyle w:val="2"/>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《中央定价目录》已经2019年12月18日第5次委务会议审议通过，并经国务院批准，现予公布，自2020年5月1日起施行。2015年公布的《中央定价目录》(国家发展改革委令第29号)同时废止。</w:t>
      </w:r>
    </w:p>
    <w:p>
      <w:pPr>
        <w:pStyle w:val="2"/>
        <w:rPr>
          <w:rFonts w:hint="eastAsia" w:ascii="方正仿宋简体" w:hAnsi="方正仿宋简体" w:eastAsia="方正仿宋简体" w:cs="方正仿宋简体"/>
          <w:sz w:val="32"/>
          <w:szCs w:val="32"/>
        </w:rPr>
      </w:pPr>
    </w:p>
    <w:p>
      <w:pPr>
        <w:pStyle w:val="2"/>
        <w:ind w:firstLine="5760" w:firstLineChars="18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主</w:t>
      </w:r>
      <w:r>
        <w:rPr>
          <w:rFonts w:hint="eastAsia" w:ascii="方正仿宋简体" w:hAnsi="方正仿宋简体" w:eastAsia="方正仿宋简体" w:cs="方正仿宋简体"/>
          <w:sz w:val="32"/>
          <w:szCs w:val="32"/>
        </w:rPr>
        <w:t>任:何立峰</w:t>
      </w:r>
    </w:p>
    <w:p>
      <w:pPr>
        <w:pStyle w:val="2"/>
        <w:rPr>
          <w:rFonts w:hint="eastAsia" w:ascii="方正仿宋简体" w:hAnsi="方正仿宋简体" w:eastAsia="方正仿宋简体" w:cs="方正仿宋简体"/>
          <w:sz w:val="32"/>
          <w:szCs w:val="32"/>
        </w:rPr>
      </w:pPr>
    </w:p>
    <w:p>
      <w:pPr>
        <w:pStyle w:val="2"/>
        <w:ind w:firstLine="5440" w:firstLineChars="17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020年3月13日</w:t>
      </w: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0"/>
        </w:rPr>
      </w:pPr>
    </w:p>
    <w:p>
      <w:pPr>
        <w:pStyle w:val="2"/>
        <w:rPr>
          <w:rFonts w:ascii="Times New Roman"/>
          <w:sz w:val="21"/>
        </w:rPr>
      </w:pPr>
      <w:bookmarkStart w:id="0" w:name="_GoBack"/>
      <w:bookmarkEnd w:id="0"/>
    </w:p>
    <w:p>
      <w:pPr>
        <w:spacing w:before="64"/>
        <w:ind w:left="5981" w:right="5998" w:firstLine="0"/>
        <w:jc w:val="center"/>
        <w:rPr>
          <w:rFonts w:hint="eastAsia" w:ascii="PMingLiU" w:eastAsia="PMingLiU"/>
          <w:sz w:val="40"/>
        </w:rPr>
      </w:pPr>
      <w:r>
        <w:rPr>
          <w:rFonts w:hint="eastAsia" w:ascii="PMingLiU" w:eastAsia="PMingLiU"/>
          <w:sz w:val="40"/>
        </w:rPr>
        <w:t>中央定价目录</w:t>
      </w:r>
    </w:p>
    <w:p>
      <w:pPr>
        <w:pStyle w:val="2"/>
        <w:rPr>
          <w:rFonts w:ascii="PMingLiU"/>
          <w:sz w:val="20"/>
        </w:rPr>
      </w:pPr>
    </w:p>
    <w:p>
      <w:pPr>
        <w:pStyle w:val="2"/>
        <w:spacing w:before="2"/>
        <w:rPr>
          <w:rFonts w:ascii="PMingLiU"/>
          <w:sz w:val="19"/>
        </w:rPr>
      </w:pPr>
    </w:p>
    <w:tbl>
      <w:tblPr>
        <w:tblStyle w:val="3"/>
        <w:tblW w:w="0" w:type="auto"/>
        <w:tblInd w:w="12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45"/>
        <w:gridCol w:w="1653"/>
        <w:gridCol w:w="705"/>
        <w:gridCol w:w="3952"/>
        <w:gridCol w:w="2950"/>
        <w:gridCol w:w="37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23" w:hRule="atLeast"/>
        </w:trPr>
        <w:tc>
          <w:tcPr>
            <w:tcW w:w="845" w:type="dxa"/>
          </w:tcPr>
          <w:p>
            <w:pPr>
              <w:pStyle w:val="7"/>
              <w:spacing w:before="132"/>
              <w:ind w:left="122" w:right="103"/>
              <w:jc w:val="center"/>
              <w:rPr>
                <w:rFonts w:hint="eastAsia" w:ascii="黑体" w:eastAsia="黑体"/>
                <w:sz w:val="28"/>
              </w:rPr>
            </w:pPr>
            <w:r>
              <w:rPr>
                <w:rFonts w:hint="eastAsia" w:ascii="黑体" w:eastAsia="黑体"/>
                <w:sz w:val="28"/>
              </w:rPr>
              <w:t>序号</w:t>
            </w:r>
          </w:p>
        </w:tc>
        <w:tc>
          <w:tcPr>
            <w:tcW w:w="1653" w:type="dxa"/>
          </w:tcPr>
          <w:p>
            <w:pPr>
              <w:pStyle w:val="7"/>
              <w:spacing w:before="132"/>
              <w:ind w:left="445" w:right="424"/>
              <w:jc w:val="center"/>
              <w:rPr>
                <w:rFonts w:hint="eastAsia" w:ascii="黑体" w:eastAsia="黑体"/>
                <w:sz w:val="28"/>
              </w:rPr>
            </w:pPr>
            <w:r>
              <w:rPr>
                <w:rFonts w:hint="eastAsia" w:ascii="黑体" w:eastAsia="黑体"/>
                <w:sz w:val="28"/>
              </w:rPr>
              <w:t>项目</w:t>
            </w:r>
          </w:p>
        </w:tc>
        <w:tc>
          <w:tcPr>
            <w:tcW w:w="4657" w:type="dxa"/>
            <w:gridSpan w:val="2"/>
          </w:tcPr>
          <w:p>
            <w:pPr>
              <w:pStyle w:val="7"/>
              <w:spacing w:before="132"/>
              <w:ind w:left="1746" w:right="1730"/>
              <w:jc w:val="center"/>
              <w:rPr>
                <w:rFonts w:hint="eastAsia" w:ascii="黑体" w:eastAsia="黑体"/>
                <w:sz w:val="28"/>
              </w:rPr>
            </w:pPr>
            <w:r>
              <w:rPr>
                <w:rFonts w:hint="eastAsia" w:ascii="黑体" w:eastAsia="黑体"/>
                <w:sz w:val="28"/>
              </w:rPr>
              <w:t>定价内容</w:t>
            </w:r>
          </w:p>
        </w:tc>
        <w:tc>
          <w:tcPr>
            <w:tcW w:w="2950" w:type="dxa"/>
          </w:tcPr>
          <w:p>
            <w:pPr>
              <w:pStyle w:val="7"/>
              <w:spacing w:before="132"/>
              <w:ind w:left="132" w:right="115"/>
              <w:jc w:val="center"/>
              <w:rPr>
                <w:rFonts w:hint="eastAsia" w:ascii="黑体" w:eastAsia="黑体"/>
                <w:sz w:val="28"/>
              </w:rPr>
            </w:pPr>
            <w:r>
              <w:rPr>
                <w:rFonts w:hint="eastAsia" w:ascii="黑体" w:eastAsia="黑体"/>
                <w:sz w:val="28"/>
              </w:rPr>
              <w:t>定价部门</w:t>
            </w:r>
          </w:p>
        </w:tc>
        <w:tc>
          <w:tcPr>
            <w:tcW w:w="3775" w:type="dxa"/>
          </w:tcPr>
          <w:p>
            <w:pPr>
              <w:pStyle w:val="7"/>
              <w:spacing w:before="132"/>
              <w:ind w:left="1587" w:right="1568"/>
              <w:jc w:val="center"/>
              <w:rPr>
                <w:rFonts w:hint="eastAsia" w:ascii="黑体" w:eastAsia="黑体"/>
                <w:sz w:val="28"/>
              </w:rPr>
            </w:pPr>
            <w:r>
              <w:rPr>
                <w:rFonts w:hint="eastAsia" w:ascii="黑体" w:eastAsia="黑体"/>
                <w:sz w:val="28"/>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12" w:hRule="atLeast"/>
        </w:trPr>
        <w:tc>
          <w:tcPr>
            <w:tcW w:w="845" w:type="dxa"/>
          </w:tcPr>
          <w:p>
            <w:pPr>
              <w:pStyle w:val="7"/>
              <w:spacing w:before="9"/>
              <w:rPr>
                <w:rFonts w:ascii="PMingLiU"/>
                <w:sz w:val="28"/>
              </w:rPr>
            </w:pPr>
          </w:p>
          <w:p>
            <w:pPr>
              <w:pStyle w:val="7"/>
              <w:spacing w:before="1"/>
              <w:ind w:left="19"/>
              <w:jc w:val="center"/>
              <w:rPr>
                <w:rFonts w:ascii="Times New Roman"/>
                <w:sz w:val="24"/>
              </w:rPr>
            </w:pPr>
            <w:r>
              <w:rPr>
                <w:rFonts w:ascii="Times New Roman"/>
                <w:sz w:val="24"/>
              </w:rPr>
              <w:t>1</w:t>
            </w:r>
          </w:p>
        </w:tc>
        <w:tc>
          <w:tcPr>
            <w:tcW w:w="1653" w:type="dxa"/>
          </w:tcPr>
          <w:p>
            <w:pPr>
              <w:pStyle w:val="7"/>
              <w:spacing w:before="10"/>
              <w:rPr>
                <w:rFonts w:ascii="PMingLiU"/>
                <w:sz w:val="27"/>
              </w:rPr>
            </w:pPr>
          </w:p>
          <w:p>
            <w:pPr>
              <w:pStyle w:val="7"/>
              <w:ind w:left="445" w:right="428"/>
              <w:jc w:val="center"/>
              <w:rPr>
                <w:sz w:val="24"/>
              </w:rPr>
            </w:pPr>
            <w:r>
              <w:rPr>
                <w:sz w:val="24"/>
              </w:rPr>
              <w:t>输配电</w:t>
            </w:r>
          </w:p>
        </w:tc>
        <w:tc>
          <w:tcPr>
            <w:tcW w:w="4657" w:type="dxa"/>
            <w:gridSpan w:val="2"/>
          </w:tcPr>
          <w:p>
            <w:pPr>
              <w:pStyle w:val="7"/>
              <w:spacing w:before="10"/>
              <w:rPr>
                <w:rFonts w:ascii="PMingLiU"/>
                <w:sz w:val="27"/>
              </w:rPr>
            </w:pPr>
          </w:p>
          <w:p>
            <w:pPr>
              <w:pStyle w:val="7"/>
              <w:ind w:left="108"/>
              <w:rPr>
                <w:sz w:val="24"/>
              </w:rPr>
            </w:pPr>
            <w:r>
              <w:rPr>
                <w:sz w:val="24"/>
              </w:rPr>
              <w:t>省及省以上电网输配电价</w:t>
            </w:r>
          </w:p>
        </w:tc>
        <w:tc>
          <w:tcPr>
            <w:tcW w:w="2950" w:type="dxa"/>
          </w:tcPr>
          <w:p>
            <w:pPr>
              <w:pStyle w:val="7"/>
              <w:spacing w:before="10"/>
              <w:rPr>
                <w:rFonts w:ascii="PMingLiU"/>
                <w:sz w:val="27"/>
              </w:rPr>
            </w:pPr>
          </w:p>
          <w:p>
            <w:pPr>
              <w:pStyle w:val="7"/>
              <w:ind w:left="135" w:right="115"/>
              <w:jc w:val="center"/>
              <w:rPr>
                <w:sz w:val="24"/>
              </w:rPr>
            </w:pPr>
            <w:r>
              <w:rPr>
                <w:sz w:val="24"/>
              </w:rPr>
              <w:t>国务院价格主管部门</w:t>
            </w:r>
          </w:p>
        </w:tc>
        <w:tc>
          <w:tcPr>
            <w:tcW w:w="3775" w:type="dxa"/>
          </w:tcPr>
          <w:p>
            <w:pPr>
              <w:pStyle w:val="7"/>
              <w:rPr>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77" w:hRule="atLeast"/>
        </w:trPr>
        <w:tc>
          <w:tcPr>
            <w:tcW w:w="845" w:type="dxa"/>
          </w:tcPr>
          <w:p>
            <w:pPr>
              <w:pStyle w:val="7"/>
              <w:rPr>
                <w:rFonts w:ascii="PMingLiU"/>
                <w:sz w:val="31"/>
              </w:rPr>
            </w:pPr>
          </w:p>
          <w:p>
            <w:pPr>
              <w:pStyle w:val="7"/>
              <w:ind w:left="19"/>
              <w:jc w:val="center"/>
              <w:rPr>
                <w:rFonts w:ascii="Times New Roman"/>
                <w:sz w:val="24"/>
              </w:rPr>
            </w:pPr>
            <w:r>
              <w:rPr>
                <w:rFonts w:ascii="Times New Roman"/>
                <w:sz w:val="24"/>
              </w:rPr>
              <w:t>2</w:t>
            </w:r>
          </w:p>
        </w:tc>
        <w:tc>
          <w:tcPr>
            <w:tcW w:w="1653" w:type="dxa"/>
          </w:tcPr>
          <w:p>
            <w:pPr>
              <w:pStyle w:val="7"/>
              <w:spacing w:before="9"/>
              <w:rPr>
                <w:rFonts w:ascii="PMingLiU"/>
                <w:sz w:val="15"/>
              </w:rPr>
            </w:pPr>
          </w:p>
          <w:p>
            <w:pPr>
              <w:pStyle w:val="7"/>
              <w:spacing w:line="312" w:lineRule="auto"/>
              <w:ind w:left="585" w:right="327" w:hanging="240"/>
              <w:rPr>
                <w:sz w:val="24"/>
              </w:rPr>
            </w:pPr>
            <w:r>
              <w:rPr>
                <w:sz w:val="24"/>
              </w:rPr>
              <w:t>油气管道运输</w:t>
            </w:r>
          </w:p>
        </w:tc>
        <w:tc>
          <w:tcPr>
            <w:tcW w:w="4657" w:type="dxa"/>
            <w:gridSpan w:val="2"/>
          </w:tcPr>
          <w:p>
            <w:pPr>
              <w:pStyle w:val="7"/>
              <w:spacing w:before="12"/>
              <w:rPr>
                <w:rFonts w:ascii="PMingLiU"/>
                <w:sz w:val="29"/>
              </w:rPr>
            </w:pPr>
          </w:p>
          <w:p>
            <w:pPr>
              <w:pStyle w:val="7"/>
              <w:ind w:left="108"/>
              <w:rPr>
                <w:sz w:val="24"/>
              </w:rPr>
            </w:pPr>
            <w:r>
              <w:rPr>
                <w:sz w:val="24"/>
              </w:rPr>
              <w:t>跨省（自治区、直辖市）管道运输价格</w:t>
            </w:r>
          </w:p>
        </w:tc>
        <w:tc>
          <w:tcPr>
            <w:tcW w:w="2950" w:type="dxa"/>
          </w:tcPr>
          <w:p>
            <w:pPr>
              <w:pStyle w:val="7"/>
              <w:spacing w:before="12"/>
              <w:rPr>
                <w:rFonts w:ascii="PMingLiU"/>
                <w:sz w:val="29"/>
              </w:rPr>
            </w:pPr>
          </w:p>
          <w:p>
            <w:pPr>
              <w:pStyle w:val="7"/>
              <w:ind w:left="135" w:right="115"/>
              <w:jc w:val="center"/>
              <w:rPr>
                <w:sz w:val="24"/>
              </w:rPr>
            </w:pPr>
            <w:r>
              <w:rPr>
                <w:sz w:val="24"/>
              </w:rPr>
              <w:t>国务院价格主管部门</w:t>
            </w:r>
          </w:p>
        </w:tc>
        <w:tc>
          <w:tcPr>
            <w:tcW w:w="3775" w:type="dxa"/>
          </w:tcPr>
          <w:p>
            <w:pPr>
              <w:pStyle w:val="7"/>
              <w:spacing w:before="12"/>
              <w:rPr>
                <w:rFonts w:ascii="PMingLiU"/>
                <w:sz w:val="29"/>
              </w:rPr>
            </w:pPr>
          </w:p>
          <w:p>
            <w:pPr>
              <w:pStyle w:val="7"/>
              <w:ind w:left="106"/>
              <w:rPr>
                <w:sz w:val="24"/>
              </w:rPr>
            </w:pPr>
            <w:r>
              <w:rPr>
                <w:sz w:val="24"/>
              </w:rPr>
              <w:t>企业内部自用管道除外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3" w:hRule="atLeast"/>
        </w:trPr>
        <w:tc>
          <w:tcPr>
            <w:tcW w:w="845" w:type="dxa"/>
            <w:vMerge w:val="restart"/>
          </w:tcPr>
          <w:p>
            <w:pPr>
              <w:pStyle w:val="7"/>
              <w:rPr>
                <w:rFonts w:ascii="PMingLiU"/>
                <w:sz w:val="26"/>
              </w:rPr>
            </w:pPr>
          </w:p>
          <w:p>
            <w:pPr>
              <w:pStyle w:val="7"/>
              <w:rPr>
                <w:rFonts w:ascii="PMingLiU"/>
                <w:sz w:val="26"/>
              </w:rPr>
            </w:pPr>
          </w:p>
          <w:p>
            <w:pPr>
              <w:pStyle w:val="7"/>
              <w:rPr>
                <w:rFonts w:ascii="PMingLiU"/>
                <w:sz w:val="26"/>
              </w:rPr>
            </w:pPr>
          </w:p>
          <w:p>
            <w:pPr>
              <w:pStyle w:val="7"/>
              <w:rPr>
                <w:rFonts w:ascii="PMingLiU"/>
                <w:sz w:val="26"/>
              </w:rPr>
            </w:pPr>
          </w:p>
          <w:p>
            <w:pPr>
              <w:pStyle w:val="7"/>
              <w:spacing w:before="6"/>
              <w:rPr>
                <w:rFonts w:ascii="PMingLiU"/>
                <w:sz w:val="17"/>
              </w:rPr>
            </w:pPr>
          </w:p>
          <w:p>
            <w:pPr>
              <w:pStyle w:val="7"/>
              <w:ind w:left="19"/>
              <w:jc w:val="center"/>
              <w:rPr>
                <w:rFonts w:ascii="Times New Roman"/>
                <w:sz w:val="24"/>
              </w:rPr>
            </w:pPr>
            <w:r>
              <w:rPr>
                <w:rFonts w:ascii="Times New Roman"/>
                <w:sz w:val="24"/>
              </w:rPr>
              <w:t>3</w:t>
            </w:r>
          </w:p>
        </w:tc>
        <w:tc>
          <w:tcPr>
            <w:tcW w:w="1653" w:type="dxa"/>
            <w:vMerge w:val="restart"/>
          </w:tcPr>
          <w:p>
            <w:pPr>
              <w:pStyle w:val="7"/>
              <w:rPr>
                <w:rFonts w:ascii="PMingLiU"/>
                <w:sz w:val="24"/>
              </w:rPr>
            </w:pPr>
          </w:p>
          <w:p>
            <w:pPr>
              <w:pStyle w:val="7"/>
              <w:rPr>
                <w:rFonts w:ascii="PMingLiU"/>
                <w:sz w:val="24"/>
              </w:rPr>
            </w:pPr>
          </w:p>
          <w:p>
            <w:pPr>
              <w:pStyle w:val="7"/>
              <w:rPr>
                <w:rFonts w:ascii="PMingLiU"/>
                <w:sz w:val="24"/>
              </w:rPr>
            </w:pPr>
          </w:p>
          <w:p>
            <w:pPr>
              <w:pStyle w:val="7"/>
              <w:rPr>
                <w:rFonts w:ascii="PMingLiU"/>
                <w:sz w:val="24"/>
              </w:rPr>
            </w:pPr>
          </w:p>
          <w:p>
            <w:pPr>
              <w:pStyle w:val="7"/>
              <w:spacing w:before="7"/>
              <w:rPr>
                <w:rFonts w:ascii="PMingLiU"/>
                <w:sz w:val="24"/>
              </w:rPr>
            </w:pPr>
          </w:p>
          <w:p>
            <w:pPr>
              <w:pStyle w:val="7"/>
              <w:spacing w:line="312" w:lineRule="auto"/>
              <w:ind w:left="585" w:right="327" w:hanging="240"/>
              <w:rPr>
                <w:sz w:val="24"/>
              </w:rPr>
            </w:pPr>
            <w:r>
              <w:rPr>
                <w:sz w:val="24"/>
              </w:rPr>
              <w:t>基础交通运输</w:t>
            </w:r>
          </w:p>
        </w:tc>
        <w:tc>
          <w:tcPr>
            <w:tcW w:w="705" w:type="dxa"/>
            <w:vMerge w:val="restart"/>
          </w:tcPr>
          <w:p>
            <w:pPr>
              <w:pStyle w:val="7"/>
              <w:rPr>
                <w:rFonts w:ascii="PMingLiU"/>
                <w:sz w:val="24"/>
              </w:rPr>
            </w:pPr>
          </w:p>
          <w:p>
            <w:pPr>
              <w:pStyle w:val="7"/>
              <w:rPr>
                <w:rFonts w:ascii="PMingLiU"/>
                <w:sz w:val="24"/>
              </w:rPr>
            </w:pPr>
          </w:p>
          <w:p>
            <w:pPr>
              <w:pStyle w:val="7"/>
              <w:spacing w:before="207" w:line="312" w:lineRule="auto"/>
              <w:ind w:left="110" w:right="92"/>
              <w:jc w:val="both"/>
              <w:rPr>
                <w:sz w:val="24"/>
              </w:rPr>
            </w:pPr>
            <w:r>
              <w:rPr>
                <w:sz w:val="24"/>
              </w:rPr>
              <w:t>铁路运输服务</w:t>
            </w:r>
          </w:p>
        </w:tc>
        <w:tc>
          <w:tcPr>
            <w:tcW w:w="3952" w:type="dxa"/>
          </w:tcPr>
          <w:p>
            <w:pPr>
              <w:pStyle w:val="7"/>
              <w:spacing w:before="3"/>
              <w:rPr>
                <w:rFonts w:ascii="PMingLiU"/>
                <w:sz w:val="19"/>
              </w:rPr>
            </w:pPr>
          </w:p>
          <w:p>
            <w:pPr>
              <w:pStyle w:val="7"/>
              <w:spacing w:line="312" w:lineRule="auto"/>
              <w:ind w:left="108" w:right="221"/>
              <w:rPr>
                <w:sz w:val="24"/>
              </w:rPr>
            </w:pPr>
            <w:r>
              <w:rPr>
                <w:sz w:val="24"/>
              </w:rPr>
              <w:t>中央管理企业全资及控股铁路普通旅客列车硬座、硬卧票价率</w:t>
            </w:r>
          </w:p>
        </w:tc>
        <w:tc>
          <w:tcPr>
            <w:tcW w:w="2950" w:type="dxa"/>
          </w:tcPr>
          <w:p>
            <w:pPr>
              <w:pStyle w:val="7"/>
              <w:spacing w:before="6"/>
              <w:rPr>
                <w:rFonts w:ascii="PMingLiU"/>
                <w:sz w:val="33"/>
              </w:rPr>
            </w:pPr>
          </w:p>
          <w:p>
            <w:pPr>
              <w:pStyle w:val="7"/>
              <w:spacing w:before="1"/>
              <w:ind w:left="135" w:right="115"/>
              <w:jc w:val="center"/>
              <w:rPr>
                <w:sz w:val="24"/>
              </w:rPr>
            </w:pPr>
            <w:r>
              <w:rPr>
                <w:sz w:val="24"/>
              </w:rPr>
              <w:t>国务院价格主管部门</w:t>
            </w:r>
          </w:p>
        </w:tc>
        <w:tc>
          <w:tcPr>
            <w:tcW w:w="3775" w:type="dxa"/>
          </w:tcPr>
          <w:p>
            <w:pPr>
              <w:pStyle w:val="7"/>
              <w:spacing w:before="3"/>
              <w:rPr>
                <w:rFonts w:ascii="PMingLiU"/>
                <w:sz w:val="19"/>
              </w:rPr>
            </w:pPr>
          </w:p>
          <w:p>
            <w:pPr>
              <w:pStyle w:val="7"/>
              <w:spacing w:line="312" w:lineRule="auto"/>
              <w:ind w:left="106" w:right="28"/>
              <w:rPr>
                <w:sz w:val="24"/>
              </w:rPr>
            </w:pPr>
            <w:r>
              <w:rPr>
                <w:sz w:val="24"/>
              </w:rPr>
              <w:t>定价范围不包括动车组列车、社会资本投资控股新建铁路客运专线</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600"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705" w:type="dxa"/>
            <w:vMerge w:val="continue"/>
            <w:tcBorders>
              <w:top w:val="nil"/>
            </w:tcBorders>
          </w:tcPr>
          <w:p>
            <w:pPr>
              <w:rPr>
                <w:sz w:val="2"/>
                <w:szCs w:val="2"/>
              </w:rPr>
            </w:pPr>
          </w:p>
        </w:tc>
        <w:tc>
          <w:tcPr>
            <w:tcW w:w="3952" w:type="dxa"/>
          </w:tcPr>
          <w:p>
            <w:pPr>
              <w:pStyle w:val="7"/>
              <w:spacing w:before="6"/>
              <w:rPr>
                <w:rFonts w:ascii="PMingLiU"/>
                <w:sz w:val="34"/>
              </w:rPr>
            </w:pPr>
          </w:p>
          <w:p>
            <w:pPr>
              <w:pStyle w:val="7"/>
              <w:spacing w:line="312" w:lineRule="auto"/>
              <w:ind w:left="108" w:right="221"/>
              <w:rPr>
                <w:sz w:val="24"/>
              </w:rPr>
            </w:pPr>
            <w:r>
              <w:rPr>
                <w:sz w:val="24"/>
              </w:rPr>
              <w:t>中央管理企业全资及控股铁路大宗货物、行李运价率</w:t>
            </w:r>
          </w:p>
        </w:tc>
        <w:tc>
          <w:tcPr>
            <w:tcW w:w="2950" w:type="dxa"/>
          </w:tcPr>
          <w:p>
            <w:pPr>
              <w:pStyle w:val="7"/>
              <w:rPr>
                <w:rFonts w:ascii="PMingLiU"/>
                <w:sz w:val="24"/>
              </w:rPr>
            </w:pPr>
          </w:p>
          <w:p>
            <w:pPr>
              <w:pStyle w:val="7"/>
              <w:spacing w:before="9"/>
              <w:rPr>
                <w:rFonts w:ascii="PMingLiU"/>
                <w:sz w:val="24"/>
              </w:rPr>
            </w:pPr>
          </w:p>
          <w:p>
            <w:pPr>
              <w:pStyle w:val="7"/>
              <w:ind w:left="135" w:right="115"/>
              <w:jc w:val="center"/>
              <w:rPr>
                <w:sz w:val="24"/>
              </w:rPr>
            </w:pPr>
            <w:r>
              <w:rPr>
                <w:sz w:val="24"/>
              </w:rPr>
              <w:t>国务院价格主管部门</w:t>
            </w:r>
          </w:p>
        </w:tc>
        <w:tc>
          <w:tcPr>
            <w:tcW w:w="3775" w:type="dxa"/>
          </w:tcPr>
          <w:p>
            <w:pPr>
              <w:pStyle w:val="7"/>
              <w:spacing w:before="81" w:line="312" w:lineRule="auto"/>
              <w:ind w:left="106" w:right="46"/>
              <w:jc w:val="both"/>
              <w:rPr>
                <w:sz w:val="24"/>
              </w:rPr>
            </w:pPr>
            <w:r>
              <w:rPr>
                <w:sz w:val="24"/>
              </w:rPr>
              <w:t>定价范围为整车运输的煤、石油、粮食、化肥等货物和行李运价率。社会资本投资控股新建铁路货物</w:t>
            </w:r>
          </w:p>
          <w:p>
            <w:pPr>
              <w:pStyle w:val="7"/>
              <w:spacing w:line="299" w:lineRule="exact"/>
              <w:ind w:left="106"/>
              <w:rPr>
                <w:sz w:val="24"/>
              </w:rPr>
            </w:pPr>
            <w:r>
              <w:rPr>
                <w:sz w:val="24"/>
              </w:rPr>
              <w:t>运输除外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191"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705" w:type="dxa"/>
          </w:tcPr>
          <w:p>
            <w:pPr>
              <w:pStyle w:val="7"/>
              <w:spacing w:before="11"/>
              <w:rPr>
                <w:rFonts w:ascii="PMingLiU"/>
                <w:sz w:val="19"/>
              </w:rPr>
            </w:pPr>
          </w:p>
          <w:p>
            <w:pPr>
              <w:pStyle w:val="7"/>
              <w:spacing w:before="1" w:line="312" w:lineRule="auto"/>
              <w:ind w:left="108" w:right="96"/>
              <w:rPr>
                <w:sz w:val="24"/>
              </w:rPr>
            </w:pPr>
            <w:r>
              <w:rPr>
                <w:sz w:val="24"/>
              </w:rPr>
              <w:t>港口服务</w:t>
            </w:r>
          </w:p>
        </w:tc>
        <w:tc>
          <w:tcPr>
            <w:tcW w:w="3952" w:type="dxa"/>
          </w:tcPr>
          <w:p>
            <w:pPr>
              <w:pStyle w:val="7"/>
              <w:spacing w:before="11"/>
              <w:rPr>
                <w:rFonts w:ascii="PMingLiU"/>
                <w:sz w:val="19"/>
              </w:rPr>
            </w:pPr>
          </w:p>
          <w:p>
            <w:pPr>
              <w:pStyle w:val="7"/>
              <w:spacing w:before="1" w:line="312" w:lineRule="auto"/>
              <w:ind w:left="108" w:right="88"/>
              <w:rPr>
                <w:sz w:val="24"/>
              </w:rPr>
            </w:pPr>
            <w:r>
              <w:rPr>
                <w:spacing w:val="-12"/>
                <w:sz w:val="24"/>
              </w:rPr>
              <w:t>沿海、长江干线主要港口及其他所有</w:t>
            </w:r>
            <w:r>
              <w:rPr>
                <w:sz w:val="24"/>
              </w:rPr>
              <w:t>对外开放港口的垄断服务收费</w:t>
            </w:r>
          </w:p>
        </w:tc>
        <w:tc>
          <w:tcPr>
            <w:tcW w:w="2950" w:type="dxa"/>
          </w:tcPr>
          <w:p>
            <w:pPr>
              <w:pStyle w:val="7"/>
              <w:spacing w:before="11"/>
              <w:rPr>
                <w:rFonts w:ascii="PMingLiU"/>
                <w:sz w:val="19"/>
              </w:rPr>
            </w:pPr>
          </w:p>
          <w:p>
            <w:pPr>
              <w:pStyle w:val="7"/>
              <w:spacing w:before="1" w:line="312" w:lineRule="auto"/>
              <w:ind w:left="155" w:right="134"/>
              <w:rPr>
                <w:sz w:val="24"/>
              </w:rPr>
            </w:pPr>
            <w:r>
              <w:rPr>
                <w:sz w:val="24"/>
              </w:rPr>
              <w:t>国务院交通运输主管部门会同国务院价格主管部门</w:t>
            </w:r>
          </w:p>
        </w:tc>
        <w:tc>
          <w:tcPr>
            <w:tcW w:w="3775" w:type="dxa"/>
          </w:tcPr>
          <w:p>
            <w:pPr>
              <w:pStyle w:val="7"/>
              <w:spacing w:before="11"/>
              <w:rPr>
                <w:rFonts w:ascii="PMingLiU"/>
                <w:sz w:val="19"/>
              </w:rPr>
            </w:pPr>
          </w:p>
          <w:p>
            <w:pPr>
              <w:pStyle w:val="7"/>
              <w:spacing w:before="1" w:line="312" w:lineRule="auto"/>
              <w:ind w:left="106" w:right="28"/>
              <w:rPr>
                <w:sz w:val="24"/>
              </w:rPr>
            </w:pPr>
            <w:r>
              <w:rPr>
                <w:sz w:val="24"/>
              </w:rPr>
              <w:t>定价范围为船舶进出港、靠离泊和港口安保等服务</w:t>
            </w:r>
          </w:p>
        </w:tc>
      </w:tr>
    </w:tbl>
    <w:p>
      <w:pPr>
        <w:spacing w:after="0" w:line="312" w:lineRule="auto"/>
        <w:rPr>
          <w:sz w:val="24"/>
        </w:rPr>
        <w:sectPr>
          <w:footerReference r:id="rId5" w:type="default"/>
          <w:type w:val="continuous"/>
          <w:pgSz w:w="16840" w:h="11910" w:orient="landscape"/>
          <w:pgMar w:top="1100" w:right="1200" w:bottom="1100" w:left="1220" w:header="720" w:footer="903" w:gutter="0"/>
          <w:pgNumType w:start="1"/>
          <w:cols w:space="720" w:num="1"/>
        </w:sectPr>
      </w:pPr>
    </w:p>
    <w:p>
      <w:pPr>
        <w:pStyle w:val="2"/>
        <w:rPr>
          <w:rFonts w:ascii="Times New Roman"/>
          <w:sz w:val="20"/>
        </w:rPr>
      </w:pPr>
    </w:p>
    <w:p>
      <w:pPr>
        <w:pStyle w:val="2"/>
        <w:rPr>
          <w:rFonts w:ascii="Times New Roman"/>
          <w:sz w:val="20"/>
        </w:rPr>
      </w:pPr>
    </w:p>
    <w:p>
      <w:pPr>
        <w:pStyle w:val="2"/>
        <w:spacing w:before="7"/>
        <w:rPr>
          <w:rFonts w:ascii="Times New Roman"/>
          <w:sz w:val="20"/>
        </w:rPr>
      </w:pPr>
    </w:p>
    <w:tbl>
      <w:tblPr>
        <w:tblStyle w:val="3"/>
        <w:tblW w:w="0" w:type="auto"/>
        <w:tblInd w:w="12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45"/>
        <w:gridCol w:w="1653"/>
        <w:gridCol w:w="705"/>
        <w:gridCol w:w="3952"/>
        <w:gridCol w:w="2950"/>
        <w:gridCol w:w="37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845" w:type="dxa"/>
          </w:tcPr>
          <w:p>
            <w:pPr>
              <w:pStyle w:val="7"/>
              <w:spacing w:before="133"/>
              <w:ind w:left="122" w:right="103"/>
              <w:jc w:val="center"/>
              <w:rPr>
                <w:rFonts w:hint="eastAsia" w:ascii="黑体" w:eastAsia="黑体"/>
                <w:sz w:val="28"/>
              </w:rPr>
            </w:pPr>
            <w:r>
              <w:rPr>
                <w:rFonts w:hint="eastAsia" w:ascii="黑体" w:eastAsia="黑体"/>
                <w:sz w:val="28"/>
              </w:rPr>
              <w:t>序号</w:t>
            </w:r>
          </w:p>
        </w:tc>
        <w:tc>
          <w:tcPr>
            <w:tcW w:w="1653" w:type="dxa"/>
          </w:tcPr>
          <w:p>
            <w:pPr>
              <w:pStyle w:val="7"/>
              <w:spacing w:before="133"/>
              <w:ind w:left="546"/>
              <w:rPr>
                <w:rFonts w:hint="eastAsia" w:ascii="黑体" w:eastAsia="黑体"/>
                <w:sz w:val="28"/>
              </w:rPr>
            </w:pPr>
            <w:r>
              <w:rPr>
                <w:rFonts w:hint="eastAsia" w:ascii="黑体" w:eastAsia="黑体"/>
                <w:sz w:val="28"/>
              </w:rPr>
              <w:t>项目</w:t>
            </w:r>
          </w:p>
        </w:tc>
        <w:tc>
          <w:tcPr>
            <w:tcW w:w="4657" w:type="dxa"/>
            <w:gridSpan w:val="2"/>
          </w:tcPr>
          <w:p>
            <w:pPr>
              <w:pStyle w:val="7"/>
              <w:spacing w:before="133"/>
              <w:ind w:left="1746" w:right="1730"/>
              <w:jc w:val="center"/>
              <w:rPr>
                <w:rFonts w:hint="eastAsia" w:ascii="黑体" w:eastAsia="黑体"/>
                <w:sz w:val="28"/>
              </w:rPr>
            </w:pPr>
            <w:r>
              <w:rPr>
                <w:rFonts w:hint="eastAsia" w:ascii="黑体" w:eastAsia="黑体"/>
                <w:sz w:val="28"/>
              </w:rPr>
              <w:t>定价内容</w:t>
            </w:r>
          </w:p>
        </w:tc>
        <w:tc>
          <w:tcPr>
            <w:tcW w:w="2950" w:type="dxa"/>
          </w:tcPr>
          <w:p>
            <w:pPr>
              <w:pStyle w:val="7"/>
              <w:spacing w:before="133"/>
              <w:ind w:left="132" w:right="115"/>
              <w:jc w:val="center"/>
              <w:rPr>
                <w:rFonts w:hint="eastAsia" w:ascii="黑体" w:eastAsia="黑体"/>
                <w:sz w:val="28"/>
              </w:rPr>
            </w:pPr>
            <w:r>
              <w:rPr>
                <w:rFonts w:hint="eastAsia" w:ascii="黑体" w:eastAsia="黑体"/>
                <w:sz w:val="28"/>
              </w:rPr>
              <w:t>定价部门</w:t>
            </w:r>
          </w:p>
        </w:tc>
        <w:tc>
          <w:tcPr>
            <w:tcW w:w="3775" w:type="dxa"/>
          </w:tcPr>
          <w:p>
            <w:pPr>
              <w:pStyle w:val="7"/>
              <w:spacing w:before="133"/>
              <w:ind w:left="1587" w:right="1568"/>
              <w:jc w:val="center"/>
              <w:rPr>
                <w:rFonts w:hint="eastAsia" w:ascii="黑体" w:eastAsia="黑体"/>
                <w:sz w:val="28"/>
              </w:rPr>
            </w:pPr>
            <w:r>
              <w:rPr>
                <w:rFonts w:hint="eastAsia" w:ascii="黑体" w:eastAsia="黑体"/>
                <w:sz w:val="28"/>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95" w:hRule="atLeast"/>
        </w:trPr>
        <w:tc>
          <w:tcPr>
            <w:tcW w:w="845" w:type="dxa"/>
            <w:vMerge w:val="restart"/>
          </w:tcPr>
          <w:p>
            <w:pPr>
              <w:pStyle w:val="7"/>
              <w:rPr>
                <w:rFonts w:ascii="Times New Roman"/>
                <w:sz w:val="26"/>
              </w:rPr>
            </w:pPr>
          </w:p>
          <w:p>
            <w:pPr>
              <w:pStyle w:val="7"/>
              <w:rPr>
                <w:rFonts w:ascii="Times New Roman"/>
                <w:sz w:val="26"/>
              </w:rPr>
            </w:pPr>
          </w:p>
          <w:p>
            <w:pPr>
              <w:pStyle w:val="7"/>
              <w:spacing w:before="10"/>
              <w:rPr>
                <w:rFonts w:ascii="Times New Roman"/>
                <w:sz w:val="25"/>
              </w:rPr>
            </w:pPr>
          </w:p>
          <w:p>
            <w:pPr>
              <w:pStyle w:val="7"/>
              <w:ind w:left="19"/>
              <w:jc w:val="center"/>
              <w:rPr>
                <w:rFonts w:ascii="Times New Roman"/>
                <w:sz w:val="24"/>
              </w:rPr>
            </w:pPr>
            <w:r>
              <w:rPr>
                <w:rFonts w:ascii="Times New Roman"/>
                <w:sz w:val="24"/>
              </w:rPr>
              <w:t>3</w:t>
            </w:r>
          </w:p>
        </w:tc>
        <w:tc>
          <w:tcPr>
            <w:tcW w:w="1653" w:type="dxa"/>
            <w:vMerge w:val="restart"/>
          </w:tcPr>
          <w:p>
            <w:pPr>
              <w:pStyle w:val="7"/>
              <w:rPr>
                <w:rFonts w:ascii="Times New Roman"/>
                <w:sz w:val="24"/>
              </w:rPr>
            </w:pPr>
          </w:p>
          <w:p>
            <w:pPr>
              <w:pStyle w:val="7"/>
              <w:rPr>
                <w:rFonts w:ascii="Times New Roman"/>
                <w:sz w:val="24"/>
              </w:rPr>
            </w:pPr>
          </w:p>
          <w:p>
            <w:pPr>
              <w:pStyle w:val="7"/>
              <w:spacing w:before="8"/>
              <w:rPr>
                <w:rFonts w:ascii="Times New Roman"/>
                <w:sz w:val="28"/>
              </w:rPr>
            </w:pPr>
          </w:p>
          <w:p>
            <w:pPr>
              <w:pStyle w:val="7"/>
              <w:spacing w:line="312" w:lineRule="auto"/>
              <w:ind w:left="585" w:right="327" w:hanging="240"/>
              <w:rPr>
                <w:sz w:val="24"/>
              </w:rPr>
            </w:pPr>
            <w:r>
              <w:rPr>
                <w:sz w:val="24"/>
              </w:rPr>
              <w:t>基础交通运输</w:t>
            </w:r>
          </w:p>
        </w:tc>
        <w:tc>
          <w:tcPr>
            <w:tcW w:w="705" w:type="dxa"/>
            <w:vMerge w:val="restart"/>
          </w:tcPr>
          <w:p>
            <w:pPr>
              <w:pStyle w:val="7"/>
              <w:rPr>
                <w:rFonts w:ascii="Times New Roman"/>
                <w:sz w:val="24"/>
              </w:rPr>
            </w:pPr>
          </w:p>
          <w:p>
            <w:pPr>
              <w:pStyle w:val="7"/>
              <w:spacing w:before="5"/>
              <w:rPr>
                <w:rFonts w:ascii="Times New Roman"/>
                <w:sz w:val="31"/>
              </w:rPr>
            </w:pPr>
          </w:p>
          <w:p>
            <w:pPr>
              <w:pStyle w:val="7"/>
              <w:spacing w:line="312" w:lineRule="auto"/>
              <w:ind w:left="108" w:right="92" w:firstLine="2"/>
              <w:jc w:val="both"/>
              <w:rPr>
                <w:sz w:val="24"/>
              </w:rPr>
            </w:pPr>
            <w:r>
              <w:rPr>
                <w:sz w:val="24"/>
              </w:rPr>
              <w:t>民航运输服务</w:t>
            </w:r>
          </w:p>
        </w:tc>
        <w:tc>
          <w:tcPr>
            <w:tcW w:w="3952" w:type="dxa"/>
          </w:tcPr>
          <w:p>
            <w:pPr>
              <w:pStyle w:val="7"/>
              <w:spacing w:before="8"/>
              <w:rPr>
                <w:rFonts w:ascii="Times New Roman"/>
                <w:sz w:val="19"/>
              </w:rPr>
            </w:pPr>
          </w:p>
          <w:p>
            <w:pPr>
              <w:pStyle w:val="7"/>
              <w:spacing w:line="312" w:lineRule="auto"/>
              <w:ind w:left="108" w:right="221"/>
              <w:rPr>
                <w:sz w:val="24"/>
              </w:rPr>
            </w:pPr>
            <w:r>
              <w:rPr>
                <w:sz w:val="24"/>
              </w:rPr>
              <w:t>不具备竞争条件的民航国内航线及国际航线国内段旅客票价率</w:t>
            </w:r>
          </w:p>
        </w:tc>
        <w:tc>
          <w:tcPr>
            <w:tcW w:w="2950" w:type="dxa"/>
          </w:tcPr>
          <w:p>
            <w:pPr>
              <w:pStyle w:val="7"/>
              <w:spacing w:before="8"/>
              <w:rPr>
                <w:rFonts w:ascii="Times New Roman"/>
                <w:sz w:val="19"/>
              </w:rPr>
            </w:pPr>
          </w:p>
          <w:p>
            <w:pPr>
              <w:pStyle w:val="7"/>
              <w:spacing w:line="312" w:lineRule="auto"/>
              <w:ind w:left="155" w:right="134"/>
              <w:rPr>
                <w:sz w:val="24"/>
              </w:rPr>
            </w:pPr>
            <w:r>
              <w:rPr>
                <w:sz w:val="24"/>
              </w:rPr>
              <w:t>国务院民用航空主管部门会同国务院价格主管部门</w:t>
            </w:r>
          </w:p>
        </w:tc>
        <w:tc>
          <w:tcPr>
            <w:tcW w:w="3775" w:type="dxa"/>
          </w:tcPr>
          <w:p>
            <w:pPr>
              <w:pStyle w:val="7"/>
              <w:rPr>
                <w:rFonts w:ascii="Times New Roman"/>
                <w:sz w:val="24"/>
              </w:rPr>
            </w:pPr>
          </w:p>
          <w:p>
            <w:pPr>
              <w:pStyle w:val="7"/>
              <w:spacing w:before="153"/>
              <w:ind w:left="106"/>
              <w:rPr>
                <w:sz w:val="24"/>
              </w:rPr>
            </w:pPr>
            <w:r>
              <w:rPr>
                <w:sz w:val="24"/>
              </w:rPr>
              <w:t>头等舱、公务舱除外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00"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705" w:type="dxa"/>
            <w:vMerge w:val="continue"/>
            <w:tcBorders>
              <w:top w:val="nil"/>
            </w:tcBorders>
          </w:tcPr>
          <w:p>
            <w:pPr>
              <w:rPr>
                <w:sz w:val="2"/>
                <w:szCs w:val="2"/>
              </w:rPr>
            </w:pPr>
          </w:p>
        </w:tc>
        <w:tc>
          <w:tcPr>
            <w:tcW w:w="3952" w:type="dxa"/>
          </w:tcPr>
          <w:p>
            <w:pPr>
              <w:pStyle w:val="7"/>
              <w:rPr>
                <w:rFonts w:ascii="Times New Roman"/>
                <w:sz w:val="24"/>
              </w:rPr>
            </w:pPr>
          </w:p>
          <w:p>
            <w:pPr>
              <w:pStyle w:val="7"/>
              <w:spacing w:before="204"/>
              <w:ind w:left="108"/>
              <w:rPr>
                <w:sz w:val="24"/>
              </w:rPr>
            </w:pPr>
            <w:r>
              <w:rPr>
                <w:sz w:val="24"/>
              </w:rPr>
              <w:t>民航保障服务垄断环节收费</w:t>
            </w:r>
          </w:p>
        </w:tc>
        <w:tc>
          <w:tcPr>
            <w:tcW w:w="2950" w:type="dxa"/>
          </w:tcPr>
          <w:p>
            <w:pPr>
              <w:pStyle w:val="7"/>
              <w:rPr>
                <w:rFonts w:ascii="Times New Roman"/>
                <w:sz w:val="24"/>
              </w:rPr>
            </w:pPr>
          </w:p>
          <w:p>
            <w:pPr>
              <w:pStyle w:val="7"/>
              <w:spacing w:before="204"/>
              <w:ind w:left="135" w:right="115"/>
              <w:jc w:val="center"/>
              <w:rPr>
                <w:sz w:val="24"/>
              </w:rPr>
            </w:pPr>
            <w:r>
              <w:rPr>
                <w:sz w:val="24"/>
              </w:rPr>
              <w:t>国务院民用航空主管部门</w:t>
            </w:r>
          </w:p>
        </w:tc>
        <w:tc>
          <w:tcPr>
            <w:tcW w:w="3775" w:type="dxa"/>
          </w:tcPr>
          <w:p>
            <w:pPr>
              <w:pStyle w:val="7"/>
              <w:spacing w:before="81" w:line="312" w:lineRule="auto"/>
              <w:ind w:left="106" w:right="28"/>
              <w:rPr>
                <w:sz w:val="24"/>
              </w:rPr>
            </w:pPr>
            <w:r>
              <w:rPr>
                <w:sz w:val="24"/>
              </w:rPr>
              <w:t>定价范围为民用机场、军民合用机场垄断环节服务收费，民航飞行校</w:t>
            </w:r>
          </w:p>
          <w:p>
            <w:pPr>
              <w:pStyle w:val="7"/>
              <w:spacing w:line="299" w:lineRule="exact"/>
              <w:ind w:left="106"/>
              <w:rPr>
                <w:sz w:val="24"/>
              </w:rPr>
            </w:pPr>
            <w:r>
              <w:rPr>
                <w:sz w:val="24"/>
              </w:rPr>
              <w:t>验服务收费，民航空管服务收费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68" w:hRule="atLeast"/>
        </w:trPr>
        <w:tc>
          <w:tcPr>
            <w:tcW w:w="845" w:type="dxa"/>
          </w:tcPr>
          <w:p>
            <w:pPr>
              <w:pStyle w:val="7"/>
              <w:spacing w:before="5"/>
              <w:rPr>
                <w:rFonts w:ascii="Times New Roman"/>
                <w:sz w:val="37"/>
              </w:rPr>
            </w:pPr>
          </w:p>
          <w:p>
            <w:pPr>
              <w:pStyle w:val="7"/>
              <w:ind w:left="19"/>
              <w:jc w:val="center"/>
              <w:rPr>
                <w:rFonts w:ascii="Times New Roman"/>
                <w:sz w:val="24"/>
              </w:rPr>
            </w:pPr>
            <w:r>
              <w:rPr>
                <w:rFonts w:ascii="Times New Roman"/>
                <w:sz w:val="24"/>
              </w:rPr>
              <w:t>4</w:t>
            </w:r>
          </w:p>
        </w:tc>
        <w:tc>
          <w:tcPr>
            <w:tcW w:w="1653" w:type="dxa"/>
          </w:tcPr>
          <w:p>
            <w:pPr>
              <w:pStyle w:val="7"/>
              <w:spacing w:before="215" w:line="312" w:lineRule="auto"/>
              <w:ind w:left="345" w:right="327"/>
              <w:rPr>
                <w:sz w:val="24"/>
              </w:rPr>
            </w:pPr>
            <w:r>
              <w:rPr>
                <w:sz w:val="24"/>
              </w:rPr>
              <w:t>重大水利工程供水</w:t>
            </w:r>
          </w:p>
        </w:tc>
        <w:tc>
          <w:tcPr>
            <w:tcW w:w="4657" w:type="dxa"/>
            <w:gridSpan w:val="2"/>
          </w:tcPr>
          <w:p>
            <w:pPr>
              <w:pStyle w:val="7"/>
              <w:spacing w:before="215" w:line="312" w:lineRule="auto"/>
              <w:ind w:left="108" w:right="208"/>
              <w:rPr>
                <w:sz w:val="24"/>
              </w:rPr>
            </w:pPr>
            <w:r>
              <w:rPr>
                <w:sz w:val="24"/>
              </w:rPr>
              <w:t>中央直属及跨省（自治区、直辖市）水利工程供水价格</w:t>
            </w:r>
          </w:p>
        </w:tc>
        <w:tc>
          <w:tcPr>
            <w:tcW w:w="2950" w:type="dxa"/>
          </w:tcPr>
          <w:p>
            <w:pPr>
              <w:pStyle w:val="7"/>
              <w:rPr>
                <w:rFonts w:ascii="Times New Roman"/>
                <w:sz w:val="24"/>
              </w:rPr>
            </w:pPr>
          </w:p>
          <w:p>
            <w:pPr>
              <w:pStyle w:val="7"/>
              <w:spacing w:before="138"/>
              <w:ind w:left="135" w:right="115"/>
              <w:jc w:val="center"/>
              <w:rPr>
                <w:sz w:val="24"/>
              </w:rPr>
            </w:pPr>
            <w:r>
              <w:rPr>
                <w:sz w:val="24"/>
              </w:rPr>
              <w:t>国务院价格主管部门</w:t>
            </w:r>
          </w:p>
        </w:tc>
        <w:tc>
          <w:tcPr>
            <w:tcW w:w="3775" w:type="dxa"/>
          </w:tcPr>
          <w:p>
            <w:pPr>
              <w:pStyle w:val="7"/>
              <w:rPr>
                <w:rFonts w:ascii="Times New Roman"/>
                <w:sz w:val="24"/>
              </w:rPr>
            </w:pPr>
          </w:p>
          <w:p>
            <w:pPr>
              <w:pStyle w:val="7"/>
              <w:spacing w:before="138"/>
              <w:ind w:left="106"/>
              <w:rPr>
                <w:sz w:val="24"/>
              </w:rPr>
            </w:pPr>
            <w:r>
              <w:rPr>
                <w:sz w:val="24"/>
              </w:rPr>
              <w:t>供需双方自愿协商定价的除外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trPr>
        <w:tc>
          <w:tcPr>
            <w:tcW w:w="845" w:type="dxa"/>
            <w:vMerge w:val="restart"/>
          </w:tcPr>
          <w:p>
            <w:pPr>
              <w:pStyle w:val="7"/>
              <w:rPr>
                <w:rFonts w:ascii="Times New Roman"/>
                <w:sz w:val="26"/>
              </w:rPr>
            </w:pPr>
          </w:p>
          <w:p>
            <w:pPr>
              <w:pStyle w:val="7"/>
              <w:rPr>
                <w:rFonts w:ascii="Times New Roman"/>
                <w:sz w:val="26"/>
              </w:rPr>
            </w:pPr>
          </w:p>
          <w:p>
            <w:pPr>
              <w:pStyle w:val="7"/>
              <w:rPr>
                <w:rFonts w:ascii="Times New Roman"/>
                <w:sz w:val="26"/>
              </w:rPr>
            </w:pPr>
          </w:p>
          <w:p>
            <w:pPr>
              <w:pStyle w:val="7"/>
              <w:rPr>
                <w:rFonts w:ascii="Times New Roman"/>
                <w:sz w:val="26"/>
              </w:rPr>
            </w:pPr>
          </w:p>
          <w:p>
            <w:pPr>
              <w:pStyle w:val="7"/>
              <w:rPr>
                <w:rFonts w:ascii="Times New Roman"/>
                <w:sz w:val="26"/>
              </w:rPr>
            </w:pPr>
          </w:p>
          <w:p>
            <w:pPr>
              <w:pStyle w:val="7"/>
              <w:rPr>
                <w:rFonts w:ascii="Times New Roman"/>
                <w:sz w:val="26"/>
              </w:rPr>
            </w:pPr>
          </w:p>
          <w:p>
            <w:pPr>
              <w:pStyle w:val="7"/>
              <w:spacing w:before="173"/>
              <w:ind w:left="19"/>
              <w:jc w:val="center"/>
              <w:rPr>
                <w:rFonts w:ascii="Times New Roman"/>
                <w:sz w:val="24"/>
              </w:rPr>
            </w:pPr>
            <w:r>
              <w:rPr>
                <w:rFonts w:ascii="Times New Roman"/>
                <w:sz w:val="24"/>
              </w:rPr>
              <w:t>5</w:t>
            </w:r>
          </w:p>
        </w:tc>
        <w:tc>
          <w:tcPr>
            <w:tcW w:w="1653" w:type="dxa"/>
            <w:vMerge w:val="restart"/>
          </w:tcPr>
          <w:p>
            <w:pPr>
              <w:pStyle w:val="7"/>
              <w:rPr>
                <w:rFonts w:ascii="Times New Roman"/>
                <w:sz w:val="24"/>
              </w:rPr>
            </w:pPr>
          </w:p>
          <w:p>
            <w:pPr>
              <w:pStyle w:val="7"/>
              <w:rPr>
                <w:rFonts w:ascii="Times New Roman"/>
                <w:sz w:val="24"/>
              </w:rPr>
            </w:pPr>
          </w:p>
          <w:p>
            <w:pPr>
              <w:pStyle w:val="7"/>
              <w:rPr>
                <w:rFonts w:ascii="Times New Roman"/>
                <w:sz w:val="24"/>
              </w:rPr>
            </w:pPr>
          </w:p>
          <w:p>
            <w:pPr>
              <w:pStyle w:val="7"/>
              <w:rPr>
                <w:rFonts w:ascii="Times New Roman"/>
                <w:sz w:val="24"/>
              </w:rPr>
            </w:pPr>
          </w:p>
          <w:p>
            <w:pPr>
              <w:pStyle w:val="7"/>
              <w:rPr>
                <w:rFonts w:ascii="Times New Roman"/>
                <w:sz w:val="24"/>
              </w:rPr>
            </w:pPr>
          </w:p>
          <w:p>
            <w:pPr>
              <w:pStyle w:val="7"/>
              <w:spacing w:before="4"/>
              <w:rPr>
                <w:rFonts w:ascii="Times New Roman"/>
                <w:sz w:val="32"/>
              </w:rPr>
            </w:pPr>
          </w:p>
          <w:p>
            <w:pPr>
              <w:pStyle w:val="7"/>
              <w:spacing w:line="312" w:lineRule="auto"/>
              <w:ind w:left="585" w:right="327" w:hanging="240"/>
              <w:rPr>
                <w:sz w:val="24"/>
              </w:rPr>
            </w:pPr>
            <w:r>
              <w:rPr>
                <w:sz w:val="24"/>
              </w:rPr>
              <w:t>重要邮政服务</w:t>
            </w:r>
          </w:p>
        </w:tc>
        <w:tc>
          <w:tcPr>
            <w:tcW w:w="4657" w:type="dxa"/>
            <w:gridSpan w:val="2"/>
          </w:tcPr>
          <w:p>
            <w:pPr>
              <w:pStyle w:val="7"/>
              <w:spacing w:before="2"/>
              <w:rPr>
                <w:rFonts w:ascii="Times New Roman"/>
                <w:sz w:val="19"/>
              </w:rPr>
            </w:pPr>
          </w:p>
          <w:p>
            <w:pPr>
              <w:pStyle w:val="7"/>
              <w:ind w:left="108"/>
              <w:rPr>
                <w:sz w:val="24"/>
              </w:rPr>
            </w:pPr>
            <w:r>
              <w:rPr>
                <w:sz w:val="24"/>
              </w:rPr>
              <w:t>信函寄递资费</w:t>
            </w:r>
          </w:p>
        </w:tc>
        <w:tc>
          <w:tcPr>
            <w:tcW w:w="2950" w:type="dxa"/>
            <w:vMerge w:val="restart"/>
          </w:tcPr>
          <w:p>
            <w:pPr>
              <w:pStyle w:val="7"/>
              <w:rPr>
                <w:rFonts w:ascii="Times New Roman"/>
                <w:sz w:val="24"/>
              </w:rPr>
            </w:pPr>
          </w:p>
          <w:p>
            <w:pPr>
              <w:pStyle w:val="7"/>
              <w:rPr>
                <w:rFonts w:ascii="Times New Roman"/>
                <w:sz w:val="24"/>
              </w:rPr>
            </w:pPr>
          </w:p>
          <w:p>
            <w:pPr>
              <w:pStyle w:val="7"/>
              <w:spacing w:before="6"/>
              <w:rPr>
                <w:rFonts w:ascii="Times New Roman"/>
                <w:sz w:val="28"/>
              </w:rPr>
            </w:pPr>
          </w:p>
          <w:p>
            <w:pPr>
              <w:pStyle w:val="7"/>
              <w:spacing w:before="1" w:line="312" w:lineRule="auto"/>
              <w:ind w:left="155" w:right="134"/>
              <w:jc w:val="center"/>
              <w:rPr>
                <w:sz w:val="24"/>
              </w:rPr>
            </w:pPr>
            <w:r>
              <w:rPr>
                <w:spacing w:val="-2"/>
                <w:sz w:val="24"/>
              </w:rPr>
              <w:t>国务院价格主管部门会同</w:t>
            </w:r>
            <w:r>
              <w:rPr>
                <w:sz w:val="24"/>
              </w:rPr>
              <w:t>国务院财政部门、</w:t>
            </w:r>
          </w:p>
          <w:p>
            <w:pPr>
              <w:pStyle w:val="7"/>
              <w:spacing w:before="2"/>
              <w:ind w:left="135" w:right="115"/>
              <w:jc w:val="center"/>
              <w:rPr>
                <w:sz w:val="24"/>
              </w:rPr>
            </w:pPr>
            <w:r>
              <w:rPr>
                <w:sz w:val="24"/>
              </w:rPr>
              <w:t>国务院邮政管理部门</w:t>
            </w:r>
          </w:p>
        </w:tc>
        <w:tc>
          <w:tcPr>
            <w:tcW w:w="3775" w:type="dxa"/>
            <w:vMerge w:val="restart"/>
          </w:tcPr>
          <w:p>
            <w:pPr>
              <w:pStyle w:val="7"/>
              <w:rPr>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0"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4657" w:type="dxa"/>
            <w:gridSpan w:val="2"/>
          </w:tcPr>
          <w:p>
            <w:pPr>
              <w:pStyle w:val="7"/>
              <w:spacing w:before="1"/>
              <w:rPr>
                <w:rFonts w:ascii="Times New Roman"/>
                <w:sz w:val="20"/>
              </w:rPr>
            </w:pPr>
          </w:p>
          <w:p>
            <w:pPr>
              <w:pStyle w:val="7"/>
              <w:ind w:left="108"/>
              <w:rPr>
                <w:sz w:val="24"/>
              </w:rPr>
            </w:pPr>
            <w:r>
              <w:rPr>
                <w:sz w:val="24"/>
              </w:rPr>
              <w:t>邮政汇兑资费</w:t>
            </w:r>
          </w:p>
        </w:tc>
        <w:tc>
          <w:tcPr>
            <w:tcW w:w="2950" w:type="dxa"/>
            <w:vMerge w:val="continue"/>
            <w:tcBorders>
              <w:top w:val="nil"/>
            </w:tcBorders>
          </w:tcPr>
          <w:p>
            <w:pPr>
              <w:rPr>
                <w:sz w:val="2"/>
                <w:szCs w:val="2"/>
              </w:rPr>
            </w:pPr>
          </w:p>
        </w:tc>
        <w:tc>
          <w:tcPr>
            <w:tcW w:w="3775" w:type="dxa"/>
            <w:vMerge w:val="continue"/>
            <w:tcBorders>
              <w:top w:val="nil"/>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4657" w:type="dxa"/>
            <w:gridSpan w:val="2"/>
          </w:tcPr>
          <w:p>
            <w:pPr>
              <w:pStyle w:val="7"/>
              <w:spacing w:before="8"/>
              <w:rPr>
                <w:rFonts w:ascii="Times New Roman"/>
                <w:sz w:val="21"/>
              </w:rPr>
            </w:pPr>
          </w:p>
          <w:p>
            <w:pPr>
              <w:pStyle w:val="7"/>
              <w:spacing w:before="1"/>
              <w:ind w:left="108"/>
              <w:rPr>
                <w:sz w:val="24"/>
              </w:rPr>
            </w:pPr>
            <w:r>
              <w:rPr>
                <w:sz w:val="24"/>
              </w:rPr>
              <w:t>机要通信资费</w:t>
            </w:r>
          </w:p>
        </w:tc>
        <w:tc>
          <w:tcPr>
            <w:tcW w:w="2950" w:type="dxa"/>
            <w:vMerge w:val="continue"/>
            <w:tcBorders>
              <w:top w:val="nil"/>
            </w:tcBorders>
          </w:tcPr>
          <w:p>
            <w:pPr>
              <w:rPr>
                <w:sz w:val="2"/>
                <w:szCs w:val="2"/>
              </w:rPr>
            </w:pPr>
          </w:p>
        </w:tc>
        <w:tc>
          <w:tcPr>
            <w:tcW w:w="3775" w:type="dxa"/>
            <w:vMerge w:val="continue"/>
            <w:tcBorders>
              <w:top w:val="nil"/>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0"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4657" w:type="dxa"/>
            <w:gridSpan w:val="2"/>
          </w:tcPr>
          <w:p>
            <w:pPr>
              <w:pStyle w:val="7"/>
              <w:spacing w:before="9"/>
              <w:rPr>
                <w:rFonts w:ascii="Times New Roman"/>
                <w:sz w:val="21"/>
              </w:rPr>
            </w:pPr>
          </w:p>
          <w:p>
            <w:pPr>
              <w:pStyle w:val="7"/>
              <w:ind w:left="108"/>
              <w:rPr>
                <w:sz w:val="24"/>
              </w:rPr>
            </w:pPr>
            <w:r>
              <w:rPr>
                <w:sz w:val="24"/>
              </w:rPr>
              <w:t>国家规定报刊发行资费</w:t>
            </w:r>
          </w:p>
        </w:tc>
        <w:tc>
          <w:tcPr>
            <w:tcW w:w="2950" w:type="dxa"/>
            <w:vMerge w:val="continue"/>
            <w:tcBorders>
              <w:top w:val="nil"/>
            </w:tcBorders>
          </w:tcPr>
          <w:p>
            <w:pPr>
              <w:rPr>
                <w:sz w:val="2"/>
                <w:szCs w:val="2"/>
              </w:rPr>
            </w:pPr>
          </w:p>
        </w:tc>
        <w:tc>
          <w:tcPr>
            <w:tcW w:w="3775" w:type="dxa"/>
            <w:vMerge w:val="continue"/>
            <w:tcBorders>
              <w:top w:val="nil"/>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8"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4657" w:type="dxa"/>
            <w:gridSpan w:val="2"/>
          </w:tcPr>
          <w:p>
            <w:pPr>
              <w:pStyle w:val="7"/>
              <w:rPr>
                <w:rFonts w:ascii="Times New Roman"/>
                <w:sz w:val="26"/>
              </w:rPr>
            </w:pPr>
          </w:p>
          <w:p>
            <w:pPr>
              <w:pStyle w:val="7"/>
              <w:spacing w:before="183"/>
              <w:ind w:left="108"/>
              <w:rPr>
                <w:sz w:val="24"/>
              </w:rPr>
            </w:pPr>
            <w:r>
              <w:rPr>
                <w:sz w:val="24"/>
              </w:rPr>
              <w:t xml:space="preserve">单件重量不超过 </w:t>
            </w:r>
            <w:r>
              <w:rPr>
                <w:rFonts w:ascii="Times New Roman" w:eastAsia="Times New Roman"/>
                <w:sz w:val="24"/>
              </w:rPr>
              <w:t xml:space="preserve">10 </w:t>
            </w:r>
            <w:r>
              <w:rPr>
                <w:sz w:val="24"/>
              </w:rPr>
              <w:t>千克的包裹寄递资费</w:t>
            </w:r>
          </w:p>
        </w:tc>
        <w:tc>
          <w:tcPr>
            <w:tcW w:w="2950" w:type="dxa"/>
          </w:tcPr>
          <w:p>
            <w:pPr>
              <w:pStyle w:val="7"/>
              <w:spacing w:before="81" w:line="312" w:lineRule="auto"/>
              <w:ind w:left="155" w:right="134"/>
              <w:jc w:val="center"/>
              <w:rPr>
                <w:sz w:val="24"/>
              </w:rPr>
            </w:pPr>
            <w:r>
              <w:rPr>
                <w:spacing w:val="-2"/>
                <w:sz w:val="24"/>
              </w:rPr>
              <w:t>国务院价格主管部门会同</w:t>
            </w:r>
            <w:r>
              <w:rPr>
                <w:sz w:val="24"/>
              </w:rPr>
              <w:t>国务院财政部门、</w:t>
            </w:r>
          </w:p>
          <w:p>
            <w:pPr>
              <w:pStyle w:val="7"/>
              <w:spacing w:line="297" w:lineRule="exact"/>
              <w:ind w:left="135" w:right="115"/>
              <w:jc w:val="center"/>
              <w:rPr>
                <w:sz w:val="24"/>
              </w:rPr>
            </w:pPr>
            <w:r>
              <w:rPr>
                <w:sz w:val="24"/>
              </w:rPr>
              <w:t>国务院邮政管理部门</w:t>
            </w:r>
          </w:p>
        </w:tc>
        <w:tc>
          <w:tcPr>
            <w:tcW w:w="3775" w:type="dxa"/>
          </w:tcPr>
          <w:p>
            <w:pPr>
              <w:pStyle w:val="7"/>
              <w:rPr>
                <w:rFonts w:ascii="Times New Roman"/>
                <w:sz w:val="24"/>
              </w:rPr>
            </w:pPr>
          </w:p>
          <w:p>
            <w:pPr>
              <w:pStyle w:val="7"/>
              <w:spacing w:before="206"/>
              <w:ind w:left="106"/>
              <w:rPr>
                <w:sz w:val="24"/>
              </w:rPr>
            </w:pPr>
            <w:r>
              <w:rPr>
                <w:sz w:val="24"/>
              </w:rPr>
              <w:t>竞争性领域（含计泡包裹）除外</w:t>
            </w:r>
          </w:p>
        </w:tc>
      </w:tr>
    </w:tbl>
    <w:p>
      <w:pPr>
        <w:spacing w:after="0"/>
        <w:rPr>
          <w:sz w:val="24"/>
        </w:rPr>
        <w:sectPr>
          <w:pgSz w:w="16840" w:h="11910" w:orient="landscape"/>
          <w:pgMar w:top="1100" w:right="1200" w:bottom="1100" w:left="1220" w:header="0" w:footer="903" w:gutter="0"/>
          <w:cols w:space="720" w:num="1"/>
        </w:sectPr>
      </w:pPr>
    </w:p>
    <w:p>
      <w:pPr>
        <w:pStyle w:val="2"/>
        <w:rPr>
          <w:rFonts w:ascii="Times New Roman"/>
          <w:sz w:val="20"/>
        </w:rPr>
      </w:pPr>
    </w:p>
    <w:p>
      <w:pPr>
        <w:pStyle w:val="2"/>
        <w:rPr>
          <w:rFonts w:ascii="Times New Roman"/>
          <w:sz w:val="20"/>
        </w:rPr>
      </w:pPr>
    </w:p>
    <w:p>
      <w:pPr>
        <w:pStyle w:val="2"/>
        <w:spacing w:before="7"/>
        <w:rPr>
          <w:rFonts w:ascii="Times New Roman"/>
          <w:sz w:val="20"/>
        </w:rPr>
      </w:pPr>
    </w:p>
    <w:tbl>
      <w:tblPr>
        <w:tblStyle w:val="3"/>
        <w:tblW w:w="0" w:type="auto"/>
        <w:tblInd w:w="12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45"/>
        <w:gridCol w:w="1653"/>
        <w:gridCol w:w="508"/>
        <w:gridCol w:w="4149"/>
        <w:gridCol w:w="2950"/>
        <w:gridCol w:w="37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845" w:type="dxa"/>
          </w:tcPr>
          <w:p>
            <w:pPr>
              <w:pStyle w:val="7"/>
              <w:spacing w:before="133"/>
              <w:ind w:left="122" w:right="103"/>
              <w:jc w:val="center"/>
              <w:rPr>
                <w:rFonts w:hint="eastAsia" w:ascii="黑体" w:eastAsia="黑体"/>
                <w:sz w:val="28"/>
              </w:rPr>
            </w:pPr>
            <w:r>
              <w:rPr>
                <w:rFonts w:hint="eastAsia" w:ascii="黑体" w:eastAsia="黑体"/>
                <w:sz w:val="28"/>
              </w:rPr>
              <w:t>序号</w:t>
            </w:r>
          </w:p>
        </w:tc>
        <w:tc>
          <w:tcPr>
            <w:tcW w:w="1653" w:type="dxa"/>
          </w:tcPr>
          <w:p>
            <w:pPr>
              <w:pStyle w:val="7"/>
              <w:spacing w:before="133"/>
              <w:ind w:left="546"/>
              <w:rPr>
                <w:rFonts w:hint="eastAsia" w:ascii="黑体" w:eastAsia="黑体"/>
                <w:sz w:val="28"/>
              </w:rPr>
            </w:pPr>
            <w:r>
              <w:rPr>
                <w:rFonts w:hint="eastAsia" w:ascii="黑体" w:eastAsia="黑体"/>
                <w:sz w:val="28"/>
              </w:rPr>
              <w:t>项目</w:t>
            </w:r>
          </w:p>
        </w:tc>
        <w:tc>
          <w:tcPr>
            <w:tcW w:w="4657" w:type="dxa"/>
            <w:gridSpan w:val="2"/>
          </w:tcPr>
          <w:p>
            <w:pPr>
              <w:pStyle w:val="7"/>
              <w:spacing w:before="133"/>
              <w:ind w:left="1746" w:right="1730"/>
              <w:jc w:val="center"/>
              <w:rPr>
                <w:rFonts w:hint="eastAsia" w:ascii="黑体" w:eastAsia="黑体"/>
                <w:sz w:val="28"/>
              </w:rPr>
            </w:pPr>
            <w:r>
              <w:rPr>
                <w:rFonts w:hint="eastAsia" w:ascii="黑体" w:eastAsia="黑体"/>
                <w:sz w:val="28"/>
              </w:rPr>
              <w:t>定价内容</w:t>
            </w:r>
          </w:p>
        </w:tc>
        <w:tc>
          <w:tcPr>
            <w:tcW w:w="2950" w:type="dxa"/>
          </w:tcPr>
          <w:p>
            <w:pPr>
              <w:pStyle w:val="7"/>
              <w:spacing w:before="133"/>
              <w:ind w:left="132" w:right="115"/>
              <w:jc w:val="center"/>
              <w:rPr>
                <w:rFonts w:hint="eastAsia" w:ascii="黑体" w:eastAsia="黑体"/>
                <w:sz w:val="28"/>
              </w:rPr>
            </w:pPr>
            <w:r>
              <w:rPr>
                <w:rFonts w:hint="eastAsia" w:ascii="黑体" w:eastAsia="黑体"/>
                <w:sz w:val="28"/>
              </w:rPr>
              <w:t>定价部门</w:t>
            </w:r>
          </w:p>
        </w:tc>
        <w:tc>
          <w:tcPr>
            <w:tcW w:w="3775" w:type="dxa"/>
          </w:tcPr>
          <w:p>
            <w:pPr>
              <w:pStyle w:val="7"/>
              <w:spacing w:before="133"/>
              <w:ind w:left="1587" w:right="1568"/>
              <w:jc w:val="center"/>
              <w:rPr>
                <w:rFonts w:hint="eastAsia" w:ascii="黑体" w:eastAsia="黑体"/>
                <w:sz w:val="28"/>
              </w:rPr>
            </w:pPr>
            <w:r>
              <w:rPr>
                <w:rFonts w:hint="eastAsia" w:ascii="黑体" w:eastAsia="黑体"/>
                <w:sz w:val="28"/>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05" w:hRule="atLeast"/>
        </w:trPr>
        <w:tc>
          <w:tcPr>
            <w:tcW w:w="845" w:type="dxa"/>
          </w:tcPr>
          <w:p>
            <w:pPr>
              <w:pStyle w:val="7"/>
              <w:rPr>
                <w:rFonts w:ascii="Times New Roman"/>
                <w:sz w:val="26"/>
              </w:rPr>
            </w:pPr>
          </w:p>
          <w:p>
            <w:pPr>
              <w:pStyle w:val="7"/>
              <w:spacing w:before="11"/>
              <w:rPr>
                <w:rFonts w:ascii="Times New Roman"/>
                <w:sz w:val="38"/>
              </w:rPr>
            </w:pPr>
          </w:p>
          <w:p>
            <w:pPr>
              <w:pStyle w:val="7"/>
              <w:ind w:left="19"/>
              <w:jc w:val="center"/>
              <w:rPr>
                <w:rFonts w:ascii="Times New Roman"/>
                <w:sz w:val="24"/>
              </w:rPr>
            </w:pPr>
            <w:r>
              <w:rPr>
                <w:rFonts w:ascii="Times New Roman"/>
                <w:sz w:val="24"/>
              </w:rPr>
              <w:t>6</w:t>
            </w:r>
          </w:p>
        </w:tc>
        <w:tc>
          <w:tcPr>
            <w:tcW w:w="1653" w:type="dxa"/>
          </w:tcPr>
          <w:p>
            <w:pPr>
              <w:pStyle w:val="7"/>
              <w:rPr>
                <w:rFonts w:ascii="Times New Roman"/>
                <w:sz w:val="24"/>
              </w:rPr>
            </w:pPr>
          </w:p>
          <w:p>
            <w:pPr>
              <w:pStyle w:val="7"/>
              <w:spacing w:before="5"/>
              <w:rPr>
                <w:rFonts w:ascii="Times New Roman"/>
                <w:sz w:val="22"/>
              </w:rPr>
            </w:pPr>
          </w:p>
          <w:p>
            <w:pPr>
              <w:pStyle w:val="7"/>
              <w:spacing w:line="312" w:lineRule="auto"/>
              <w:ind w:left="585" w:right="327" w:hanging="240"/>
              <w:rPr>
                <w:sz w:val="24"/>
              </w:rPr>
            </w:pPr>
            <w:r>
              <w:rPr>
                <w:sz w:val="24"/>
              </w:rPr>
              <w:t>重要专业服务</w:t>
            </w:r>
          </w:p>
        </w:tc>
        <w:tc>
          <w:tcPr>
            <w:tcW w:w="4657" w:type="dxa"/>
            <w:gridSpan w:val="2"/>
          </w:tcPr>
          <w:p>
            <w:pPr>
              <w:pStyle w:val="7"/>
              <w:rPr>
                <w:rFonts w:ascii="Times New Roman"/>
                <w:sz w:val="24"/>
              </w:rPr>
            </w:pPr>
          </w:p>
          <w:p>
            <w:pPr>
              <w:pStyle w:val="7"/>
              <w:rPr>
                <w:rFonts w:ascii="Times New Roman"/>
                <w:sz w:val="24"/>
              </w:rPr>
            </w:pPr>
          </w:p>
          <w:p>
            <w:pPr>
              <w:pStyle w:val="7"/>
              <w:spacing w:before="181"/>
              <w:ind w:left="108"/>
              <w:rPr>
                <w:sz w:val="24"/>
              </w:rPr>
            </w:pPr>
            <w:r>
              <w:rPr>
                <w:spacing w:val="-11"/>
                <w:sz w:val="24"/>
              </w:rPr>
              <w:t>商业银行基础服务收费、银行卡刷卡手续费</w:t>
            </w:r>
          </w:p>
        </w:tc>
        <w:tc>
          <w:tcPr>
            <w:tcW w:w="2950" w:type="dxa"/>
          </w:tcPr>
          <w:p>
            <w:pPr>
              <w:pStyle w:val="7"/>
              <w:spacing w:before="81" w:line="312" w:lineRule="auto"/>
              <w:ind w:left="275" w:right="254" w:firstLine="120"/>
              <w:jc w:val="both"/>
              <w:rPr>
                <w:sz w:val="24"/>
              </w:rPr>
            </w:pPr>
            <w:r>
              <w:rPr>
                <w:sz w:val="24"/>
              </w:rPr>
              <w:t xml:space="preserve">国务院价格主管部门会同中国人民银行、 </w:t>
            </w:r>
            <w:r>
              <w:rPr>
                <w:spacing w:val="-2"/>
                <w:sz w:val="24"/>
              </w:rPr>
              <w:t>国务院银行业监管机构</w:t>
            </w:r>
          </w:p>
          <w:p>
            <w:pPr>
              <w:pStyle w:val="7"/>
              <w:ind w:left="107"/>
              <w:rPr>
                <w:sz w:val="24"/>
              </w:rPr>
            </w:pPr>
            <w:r>
              <w:rPr>
                <w:spacing w:val="-12"/>
                <w:sz w:val="24"/>
              </w:rPr>
              <w:t>（具体根据职责分工确定</w:t>
            </w:r>
            <w:r>
              <w:rPr>
                <w:sz w:val="24"/>
              </w:rPr>
              <w:t>）</w:t>
            </w:r>
          </w:p>
        </w:tc>
        <w:tc>
          <w:tcPr>
            <w:tcW w:w="3775" w:type="dxa"/>
          </w:tcPr>
          <w:p>
            <w:pPr>
              <w:pStyle w:val="7"/>
              <w:spacing w:before="133" w:line="312" w:lineRule="auto"/>
              <w:ind w:left="106" w:right="46"/>
              <w:jc w:val="both"/>
              <w:rPr>
                <w:sz w:val="24"/>
              </w:rPr>
            </w:pPr>
            <w:r>
              <w:rPr>
                <w:sz w:val="24"/>
              </w:rPr>
              <w:t>定价范围为转账汇款、现金汇款、票据等商业银行基础服务，银行卡刷卡服务（收单服务费等竞争性</w:t>
            </w:r>
          </w:p>
          <w:p>
            <w:pPr>
              <w:pStyle w:val="7"/>
              <w:spacing w:before="1"/>
              <w:ind w:left="106"/>
              <w:rPr>
                <w:sz w:val="24"/>
              </w:rPr>
            </w:pPr>
            <w:r>
              <w:rPr>
                <w:sz w:val="24"/>
              </w:rPr>
              <w:t>环节除外）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99" w:hRule="atLeast"/>
        </w:trPr>
        <w:tc>
          <w:tcPr>
            <w:tcW w:w="845" w:type="dxa"/>
            <w:vMerge w:val="restart"/>
          </w:tcPr>
          <w:p>
            <w:pPr>
              <w:pStyle w:val="7"/>
              <w:rPr>
                <w:rFonts w:ascii="Times New Roman"/>
                <w:sz w:val="26"/>
              </w:rPr>
            </w:pPr>
          </w:p>
          <w:p>
            <w:pPr>
              <w:pStyle w:val="7"/>
              <w:rPr>
                <w:rFonts w:ascii="Times New Roman"/>
                <w:sz w:val="26"/>
              </w:rPr>
            </w:pPr>
          </w:p>
          <w:p>
            <w:pPr>
              <w:pStyle w:val="7"/>
              <w:rPr>
                <w:rFonts w:ascii="Times New Roman"/>
                <w:sz w:val="26"/>
              </w:rPr>
            </w:pPr>
          </w:p>
          <w:p>
            <w:pPr>
              <w:pStyle w:val="7"/>
              <w:spacing w:before="8"/>
              <w:rPr>
                <w:rFonts w:ascii="Times New Roman"/>
                <w:sz w:val="37"/>
              </w:rPr>
            </w:pPr>
          </w:p>
          <w:p>
            <w:pPr>
              <w:pStyle w:val="7"/>
              <w:ind w:left="19"/>
              <w:jc w:val="center"/>
              <w:rPr>
                <w:rFonts w:ascii="Times New Roman"/>
                <w:sz w:val="24"/>
              </w:rPr>
            </w:pPr>
            <w:r>
              <w:rPr>
                <w:rFonts w:ascii="Times New Roman"/>
                <w:sz w:val="24"/>
              </w:rPr>
              <w:t>7</w:t>
            </w:r>
          </w:p>
        </w:tc>
        <w:tc>
          <w:tcPr>
            <w:tcW w:w="1653" w:type="dxa"/>
            <w:vMerge w:val="restart"/>
          </w:tcPr>
          <w:p>
            <w:pPr>
              <w:pStyle w:val="7"/>
              <w:rPr>
                <w:rFonts w:ascii="Times New Roman"/>
                <w:sz w:val="24"/>
              </w:rPr>
            </w:pPr>
          </w:p>
          <w:p>
            <w:pPr>
              <w:pStyle w:val="7"/>
              <w:rPr>
                <w:rFonts w:ascii="Times New Roman"/>
                <w:sz w:val="24"/>
              </w:rPr>
            </w:pPr>
          </w:p>
          <w:p>
            <w:pPr>
              <w:pStyle w:val="7"/>
              <w:rPr>
                <w:rFonts w:ascii="Times New Roman"/>
                <w:sz w:val="24"/>
              </w:rPr>
            </w:pPr>
          </w:p>
          <w:p>
            <w:pPr>
              <w:pStyle w:val="7"/>
              <w:rPr>
                <w:rFonts w:ascii="Times New Roman"/>
                <w:sz w:val="25"/>
              </w:rPr>
            </w:pPr>
          </w:p>
          <w:p>
            <w:pPr>
              <w:pStyle w:val="7"/>
              <w:spacing w:line="312" w:lineRule="auto"/>
              <w:ind w:left="465" w:right="327" w:hanging="120"/>
              <w:rPr>
                <w:sz w:val="24"/>
              </w:rPr>
            </w:pPr>
            <w:r>
              <w:rPr>
                <w:sz w:val="24"/>
              </w:rPr>
              <w:t>特殊药品及血液</w:t>
            </w:r>
          </w:p>
        </w:tc>
        <w:tc>
          <w:tcPr>
            <w:tcW w:w="508" w:type="dxa"/>
          </w:tcPr>
          <w:p>
            <w:pPr>
              <w:pStyle w:val="7"/>
              <w:spacing w:before="81" w:line="312" w:lineRule="auto"/>
              <w:ind w:left="134" w:right="111"/>
              <w:jc w:val="both"/>
              <w:rPr>
                <w:sz w:val="24"/>
              </w:rPr>
            </w:pPr>
            <w:r>
              <w:rPr>
                <w:sz w:val="24"/>
              </w:rPr>
              <w:t>特殊药</w:t>
            </w:r>
          </w:p>
          <w:p>
            <w:pPr>
              <w:pStyle w:val="7"/>
              <w:spacing w:before="1" w:line="299" w:lineRule="exact"/>
              <w:ind w:left="134"/>
              <w:rPr>
                <w:sz w:val="24"/>
              </w:rPr>
            </w:pPr>
            <w:r>
              <w:rPr>
                <w:sz w:val="24"/>
              </w:rPr>
              <w:t>品</w:t>
            </w:r>
          </w:p>
        </w:tc>
        <w:tc>
          <w:tcPr>
            <w:tcW w:w="4149" w:type="dxa"/>
          </w:tcPr>
          <w:p>
            <w:pPr>
              <w:pStyle w:val="7"/>
              <w:rPr>
                <w:rFonts w:ascii="Times New Roman"/>
                <w:sz w:val="24"/>
              </w:rPr>
            </w:pPr>
          </w:p>
          <w:p>
            <w:pPr>
              <w:pStyle w:val="7"/>
              <w:spacing w:before="2"/>
              <w:rPr>
                <w:rFonts w:ascii="Times New Roman"/>
                <w:sz w:val="35"/>
              </w:rPr>
            </w:pPr>
          </w:p>
          <w:p>
            <w:pPr>
              <w:pStyle w:val="7"/>
              <w:spacing w:before="1"/>
              <w:ind w:left="106"/>
              <w:rPr>
                <w:sz w:val="24"/>
              </w:rPr>
            </w:pPr>
            <w:r>
              <w:rPr>
                <w:sz w:val="24"/>
              </w:rPr>
              <w:t>麻醉药品和第一类精神药品价格</w:t>
            </w:r>
          </w:p>
        </w:tc>
        <w:tc>
          <w:tcPr>
            <w:tcW w:w="2950" w:type="dxa"/>
          </w:tcPr>
          <w:p>
            <w:pPr>
              <w:pStyle w:val="7"/>
              <w:rPr>
                <w:rFonts w:ascii="Times New Roman"/>
                <w:sz w:val="24"/>
              </w:rPr>
            </w:pPr>
          </w:p>
          <w:p>
            <w:pPr>
              <w:pStyle w:val="7"/>
              <w:spacing w:before="2"/>
              <w:rPr>
                <w:rFonts w:ascii="Times New Roman"/>
                <w:sz w:val="35"/>
              </w:rPr>
            </w:pPr>
          </w:p>
          <w:p>
            <w:pPr>
              <w:pStyle w:val="7"/>
              <w:spacing w:before="1"/>
              <w:ind w:left="135" w:right="115"/>
              <w:jc w:val="center"/>
              <w:rPr>
                <w:sz w:val="24"/>
              </w:rPr>
            </w:pPr>
            <w:r>
              <w:rPr>
                <w:sz w:val="24"/>
              </w:rPr>
              <w:t>国务院医疗保障部门</w:t>
            </w:r>
          </w:p>
        </w:tc>
        <w:tc>
          <w:tcPr>
            <w:tcW w:w="3775" w:type="dxa"/>
          </w:tcPr>
          <w:p>
            <w:pPr>
              <w:pStyle w:val="7"/>
              <w:rPr>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0" w:hRule="atLeast"/>
        </w:trPr>
        <w:tc>
          <w:tcPr>
            <w:tcW w:w="845" w:type="dxa"/>
            <w:vMerge w:val="continue"/>
            <w:tcBorders>
              <w:top w:val="nil"/>
            </w:tcBorders>
          </w:tcPr>
          <w:p>
            <w:pPr>
              <w:rPr>
                <w:sz w:val="2"/>
                <w:szCs w:val="2"/>
              </w:rPr>
            </w:pPr>
          </w:p>
        </w:tc>
        <w:tc>
          <w:tcPr>
            <w:tcW w:w="1653" w:type="dxa"/>
            <w:vMerge w:val="continue"/>
            <w:tcBorders>
              <w:top w:val="nil"/>
            </w:tcBorders>
          </w:tcPr>
          <w:p>
            <w:pPr>
              <w:rPr>
                <w:sz w:val="2"/>
                <w:szCs w:val="2"/>
              </w:rPr>
            </w:pPr>
          </w:p>
        </w:tc>
        <w:tc>
          <w:tcPr>
            <w:tcW w:w="508" w:type="dxa"/>
          </w:tcPr>
          <w:p>
            <w:pPr>
              <w:pStyle w:val="7"/>
              <w:spacing w:before="8"/>
              <w:rPr>
                <w:rFonts w:ascii="Times New Roman"/>
                <w:sz w:val="26"/>
              </w:rPr>
            </w:pPr>
          </w:p>
          <w:p>
            <w:pPr>
              <w:pStyle w:val="7"/>
              <w:spacing w:line="312" w:lineRule="auto"/>
              <w:ind w:left="134" w:right="111"/>
              <w:rPr>
                <w:sz w:val="24"/>
              </w:rPr>
            </w:pPr>
            <w:r>
              <w:rPr>
                <w:sz w:val="24"/>
              </w:rPr>
              <w:t>血液</w:t>
            </w:r>
          </w:p>
        </w:tc>
        <w:tc>
          <w:tcPr>
            <w:tcW w:w="4149" w:type="dxa"/>
          </w:tcPr>
          <w:p>
            <w:pPr>
              <w:pStyle w:val="7"/>
              <w:rPr>
                <w:rFonts w:ascii="Times New Roman"/>
                <w:sz w:val="24"/>
              </w:rPr>
            </w:pPr>
          </w:p>
          <w:p>
            <w:pPr>
              <w:pStyle w:val="7"/>
              <w:rPr>
                <w:rFonts w:ascii="Times New Roman"/>
                <w:sz w:val="20"/>
              </w:rPr>
            </w:pPr>
          </w:p>
          <w:p>
            <w:pPr>
              <w:pStyle w:val="7"/>
              <w:ind w:left="106"/>
              <w:rPr>
                <w:sz w:val="24"/>
              </w:rPr>
            </w:pPr>
            <w:r>
              <w:rPr>
                <w:sz w:val="24"/>
              </w:rPr>
              <w:t>公民临床用血的血站供应价格</w:t>
            </w:r>
          </w:p>
        </w:tc>
        <w:tc>
          <w:tcPr>
            <w:tcW w:w="2950" w:type="dxa"/>
          </w:tcPr>
          <w:p>
            <w:pPr>
              <w:pStyle w:val="7"/>
              <w:spacing w:before="8"/>
              <w:rPr>
                <w:rFonts w:ascii="Times New Roman"/>
                <w:sz w:val="26"/>
              </w:rPr>
            </w:pPr>
          </w:p>
          <w:p>
            <w:pPr>
              <w:pStyle w:val="7"/>
              <w:spacing w:line="312" w:lineRule="auto"/>
              <w:ind w:left="395" w:right="134" w:hanging="240"/>
              <w:rPr>
                <w:sz w:val="24"/>
              </w:rPr>
            </w:pPr>
            <w:r>
              <w:rPr>
                <w:sz w:val="24"/>
              </w:rPr>
              <w:t>国务院卫生健康部门会同国务院价格主管部门</w:t>
            </w:r>
          </w:p>
        </w:tc>
        <w:tc>
          <w:tcPr>
            <w:tcW w:w="3775" w:type="dxa"/>
          </w:tcPr>
          <w:p>
            <w:pPr>
              <w:pStyle w:val="7"/>
              <w:rPr>
                <w:rFonts w:ascii="Times New Roman"/>
                <w:sz w:val="24"/>
              </w:rPr>
            </w:pPr>
          </w:p>
        </w:tc>
      </w:tr>
    </w:tbl>
    <w:p>
      <w:pPr>
        <w:spacing w:before="112"/>
        <w:ind w:left="220" w:right="0" w:firstLine="0"/>
        <w:jc w:val="left"/>
        <w:rPr>
          <w:b/>
          <w:sz w:val="24"/>
        </w:rPr>
      </w:pPr>
      <w:r>
        <w:rPr>
          <w:b/>
          <w:sz w:val="24"/>
        </w:rPr>
        <w:t>注：</w:t>
      </w:r>
    </w:p>
    <w:p>
      <w:pPr>
        <w:pStyle w:val="6"/>
        <w:numPr>
          <w:ilvl w:val="0"/>
          <w:numId w:val="1"/>
        </w:numPr>
        <w:tabs>
          <w:tab w:val="left" w:pos="881"/>
        </w:tabs>
        <w:spacing w:before="134" w:after="0" w:line="343" w:lineRule="auto"/>
        <w:ind w:left="220" w:right="240" w:firstLine="480"/>
        <w:jc w:val="left"/>
        <w:rPr>
          <w:sz w:val="24"/>
        </w:rPr>
      </w:pPr>
      <w:r>
        <w:rPr>
          <w:sz w:val="24"/>
        </w:rPr>
        <w:t>法律、行政法规明确规定实行政府定价、政府指导价的项目，自动进入本目录；法律、行政法规明确规定实行市场调节价的项目，自动退出本目录。根据价格领域简政放权、放管结合、优化服务等改革进展，定期修订本目录。</w:t>
      </w:r>
    </w:p>
    <w:p>
      <w:pPr>
        <w:pStyle w:val="6"/>
        <w:numPr>
          <w:ilvl w:val="0"/>
          <w:numId w:val="1"/>
        </w:numPr>
        <w:tabs>
          <w:tab w:val="left" w:pos="881"/>
        </w:tabs>
        <w:spacing w:before="0" w:after="0" w:line="343" w:lineRule="auto"/>
        <w:ind w:left="220" w:right="117" w:firstLine="480"/>
        <w:jc w:val="left"/>
        <w:rPr>
          <w:sz w:val="24"/>
        </w:rPr>
      </w:pPr>
      <w:r>
        <w:rPr>
          <w:sz w:val="24"/>
        </w:rPr>
        <w:t>本目录不包括地方定价项目，地方定价权限和适用范围由地方定价目录确定。列入本目录的定价内容，包括具体价格、收费标</w:t>
      </w:r>
      <w:r>
        <w:rPr>
          <w:spacing w:val="-10"/>
          <w:sz w:val="24"/>
        </w:rPr>
        <w:t xml:space="preserve">准、基准价及其浮动幅度，以及相关的定价机制、办法、规则等。对涉及民生的价格和收费，充分考虑社会承受能力，进行合理监管， </w:t>
      </w:r>
      <w:r>
        <w:rPr>
          <w:sz w:val="24"/>
        </w:rPr>
        <w:t>保障困难群众生活。</w:t>
      </w:r>
    </w:p>
    <w:p>
      <w:pPr>
        <w:spacing w:after="0" w:line="343" w:lineRule="auto"/>
        <w:jc w:val="left"/>
        <w:rPr>
          <w:sz w:val="24"/>
        </w:rPr>
        <w:sectPr>
          <w:pgSz w:w="16840" w:h="11910" w:orient="landscape"/>
          <w:pgMar w:top="1100" w:right="1200" w:bottom="1180" w:left="1220" w:header="0" w:footer="903" w:gutter="0"/>
          <w:cols w:space="720" w:num="1"/>
        </w:sectPr>
      </w:pPr>
    </w:p>
    <w:p>
      <w:pPr>
        <w:pStyle w:val="2"/>
        <w:rPr>
          <w:sz w:val="20"/>
        </w:rPr>
      </w:pPr>
    </w:p>
    <w:p>
      <w:pPr>
        <w:pStyle w:val="2"/>
        <w:rPr>
          <w:sz w:val="20"/>
        </w:rPr>
      </w:pPr>
    </w:p>
    <w:p>
      <w:pPr>
        <w:pStyle w:val="2"/>
        <w:spacing w:before="3"/>
        <w:rPr>
          <w:sz w:val="17"/>
        </w:rPr>
      </w:pPr>
    </w:p>
    <w:p>
      <w:pPr>
        <w:pStyle w:val="6"/>
        <w:numPr>
          <w:ilvl w:val="0"/>
          <w:numId w:val="1"/>
        </w:numPr>
        <w:tabs>
          <w:tab w:val="left" w:pos="881"/>
        </w:tabs>
        <w:spacing w:before="77" w:after="0" w:line="343" w:lineRule="auto"/>
        <w:ind w:left="220" w:right="237" w:firstLine="480"/>
        <w:jc w:val="both"/>
        <w:rPr>
          <w:sz w:val="24"/>
        </w:rPr>
      </w:pPr>
      <w:r>
        <w:rPr>
          <w:sz w:val="24"/>
        </w:rPr>
        <w:t>通过市场交易的电量价格，由市场形成。燃煤发电电价机制以及核电等尚未通过市场交易形成价格的上网电价，暂由国务院价</w:t>
      </w:r>
      <w:r>
        <w:rPr>
          <w:spacing w:val="-1"/>
          <w:sz w:val="24"/>
        </w:rPr>
        <w:t>格主管部门制定，视电力市场化改革进程适时放开由市场形成。尚未通过市场交易形成价格的销售电价暂按现行办法管理，视电力市</w:t>
      </w:r>
      <w:r>
        <w:rPr>
          <w:sz w:val="24"/>
        </w:rPr>
        <w:t>场化改革进程适时放开由市场形成。居民、农业等优先购电电量的销售电价，由国务院价格主管部门制定定价原则和总体水平，省级价格主管部门制定具体价格水平。</w:t>
      </w:r>
    </w:p>
    <w:p>
      <w:pPr>
        <w:pStyle w:val="6"/>
        <w:numPr>
          <w:ilvl w:val="0"/>
          <w:numId w:val="1"/>
        </w:numPr>
        <w:tabs>
          <w:tab w:val="left" w:pos="881"/>
        </w:tabs>
        <w:spacing w:before="0" w:after="0" w:line="338" w:lineRule="auto"/>
        <w:ind w:left="220" w:right="237" w:firstLine="480"/>
        <w:jc w:val="both"/>
        <w:rPr>
          <w:sz w:val="24"/>
        </w:rPr>
      </w:pPr>
      <w:r>
        <w:rPr>
          <w:sz w:val="24"/>
        </w:rPr>
        <w:t>海上气、页岩气、煤层气、煤制气、液化天然气、直供用户用气、储气设施购销气、交易平台公开交易气，</w:t>
      </w:r>
      <w:r>
        <w:rPr>
          <w:rFonts w:ascii="Times New Roman" w:eastAsia="Times New Roman"/>
          <w:sz w:val="24"/>
        </w:rPr>
        <w:t>2015</w:t>
      </w:r>
      <w:r>
        <w:rPr>
          <w:rFonts w:ascii="Times New Roman" w:eastAsia="Times New Roman"/>
          <w:spacing w:val="23"/>
          <w:sz w:val="24"/>
        </w:rPr>
        <w:t xml:space="preserve"> </w:t>
      </w:r>
      <w:r>
        <w:rPr>
          <w:sz w:val="24"/>
        </w:rPr>
        <w:t>年以后投产的</w:t>
      </w:r>
      <w:r>
        <w:rPr>
          <w:spacing w:val="-8"/>
          <w:sz w:val="24"/>
        </w:rPr>
        <w:t xml:space="preserve">进口管道天然气，以及具备竞争条件省份天然气的门站价格，由市场形成；其他国产陆上管道天然气和 </w:t>
      </w:r>
      <w:r>
        <w:rPr>
          <w:rFonts w:ascii="Times New Roman" w:eastAsia="Times New Roman"/>
          <w:sz w:val="24"/>
        </w:rPr>
        <w:t>2014</w:t>
      </w:r>
      <w:r>
        <w:rPr>
          <w:rFonts w:ascii="Times New Roman" w:eastAsia="Times New Roman"/>
          <w:spacing w:val="1"/>
          <w:sz w:val="24"/>
        </w:rPr>
        <w:t xml:space="preserve"> </w:t>
      </w:r>
      <w:r>
        <w:rPr>
          <w:spacing w:val="-2"/>
          <w:sz w:val="24"/>
        </w:rPr>
        <w:t>年底前投产的进口管道天</w:t>
      </w:r>
      <w:r>
        <w:rPr>
          <w:spacing w:val="-1"/>
          <w:sz w:val="24"/>
        </w:rPr>
        <w:t>然气门站价格，暂按现行价格机制管理，视天然气市场化改革进程适时放开由市场形成。成品油价格暂按现行价格形成机制，根据国</w:t>
      </w:r>
      <w:r>
        <w:rPr>
          <w:sz w:val="24"/>
        </w:rPr>
        <w:t>际市场油价变化适时调整，将视体制改革进程全面放开由市场形成。电信网、互联网网间结算价格按《工业和信息化部关于调整固定本地电话网营业区间结算标准的通知》（工信部电管函</w:t>
      </w:r>
      <w:r>
        <w:rPr>
          <w:rFonts w:hint="eastAsia" w:ascii="方正仿宋简体" w:eastAsia="方正仿宋简体"/>
          <w:sz w:val="24"/>
        </w:rPr>
        <w:t>〔</w:t>
      </w:r>
      <w:r>
        <w:rPr>
          <w:rFonts w:ascii="Times New Roman" w:eastAsia="Times New Roman"/>
          <w:sz w:val="24"/>
        </w:rPr>
        <w:t>2009</w:t>
      </w:r>
      <w:r>
        <w:rPr>
          <w:rFonts w:hint="eastAsia" w:ascii="方正仿宋简体" w:eastAsia="方正仿宋简体"/>
          <w:sz w:val="24"/>
        </w:rPr>
        <w:t>〕</w:t>
      </w:r>
      <w:r>
        <w:rPr>
          <w:rFonts w:ascii="Times New Roman" w:eastAsia="Times New Roman"/>
          <w:sz w:val="24"/>
        </w:rPr>
        <w:t xml:space="preserve">243 </w:t>
      </w:r>
      <w:r>
        <w:rPr>
          <w:sz w:val="24"/>
        </w:rPr>
        <w:t>号）等文件执行。</w:t>
      </w:r>
    </w:p>
    <w:p>
      <w:pPr>
        <w:pStyle w:val="6"/>
        <w:numPr>
          <w:ilvl w:val="0"/>
          <w:numId w:val="1"/>
        </w:numPr>
        <w:tabs>
          <w:tab w:val="left" w:pos="181"/>
        </w:tabs>
        <w:spacing w:before="0" w:after="0" w:line="229" w:lineRule="exact"/>
        <w:ind w:left="881" w:right="237" w:hanging="881"/>
        <w:jc w:val="right"/>
        <w:rPr>
          <w:sz w:val="24"/>
        </w:rPr>
      </w:pPr>
      <w:r>
        <w:rPr>
          <w:sz w:val="24"/>
        </w:rPr>
        <w:t>征信服务（金融信用信息基础数据库运行机构提供的信用报告查询服务和应收账款质押登记服务）收费暂按现行办法管理，待</w:t>
      </w:r>
    </w:p>
    <w:p>
      <w:pPr>
        <w:pStyle w:val="2"/>
        <w:spacing w:before="132"/>
        <w:ind w:right="276"/>
        <w:jc w:val="right"/>
      </w:pPr>
      <w:r>
        <w:t>相关事业单位分类改革、职能调整到位后，及时调整收费管理方式。国防运输价格按《中华人民共和国国防交通法》有关规定执行。</w:t>
      </w:r>
    </w:p>
    <w:p>
      <w:pPr>
        <w:pStyle w:val="6"/>
        <w:numPr>
          <w:ilvl w:val="0"/>
          <w:numId w:val="1"/>
        </w:numPr>
        <w:tabs>
          <w:tab w:val="left" w:pos="181"/>
        </w:tabs>
        <w:spacing w:before="104" w:after="0" w:line="240" w:lineRule="auto"/>
        <w:ind w:left="881" w:right="276" w:hanging="881"/>
        <w:jc w:val="right"/>
        <w:rPr>
          <w:sz w:val="24"/>
        </w:rPr>
      </w:pPr>
      <w:r>
        <w:rPr>
          <w:sz w:val="24"/>
        </w:rPr>
        <w:t>社会资本投资控股新建铁路按《国家发展改革委关于放开部分铁路价格的通知》（发改价格</w:t>
      </w:r>
      <w:r>
        <w:rPr>
          <w:rFonts w:hint="eastAsia" w:ascii="方正仿宋简体" w:eastAsia="方正仿宋简体"/>
          <w:sz w:val="24"/>
        </w:rPr>
        <w:t>〔</w:t>
      </w:r>
      <w:r>
        <w:rPr>
          <w:rFonts w:ascii="Times New Roman" w:eastAsia="Times New Roman"/>
          <w:sz w:val="24"/>
        </w:rPr>
        <w:t>2014</w:t>
      </w:r>
      <w:r>
        <w:rPr>
          <w:rFonts w:hint="eastAsia" w:ascii="方正仿宋简体" w:eastAsia="方正仿宋简体"/>
          <w:sz w:val="24"/>
        </w:rPr>
        <w:t>〕</w:t>
      </w:r>
      <w:r>
        <w:rPr>
          <w:rFonts w:ascii="Times New Roman" w:eastAsia="Times New Roman"/>
          <w:sz w:val="24"/>
        </w:rPr>
        <w:t xml:space="preserve">2928 </w:t>
      </w:r>
      <w:r>
        <w:rPr>
          <w:sz w:val="24"/>
        </w:rPr>
        <w:t>号）有关规定执行。</w:t>
      </w:r>
    </w:p>
    <w:p>
      <w:pPr>
        <w:pStyle w:val="6"/>
        <w:numPr>
          <w:ilvl w:val="0"/>
          <w:numId w:val="1"/>
        </w:numPr>
        <w:tabs>
          <w:tab w:val="left" w:pos="881"/>
        </w:tabs>
        <w:spacing w:before="83" w:after="0" w:line="240" w:lineRule="auto"/>
        <w:ind w:left="881" w:right="0" w:hanging="181"/>
        <w:jc w:val="left"/>
        <w:rPr>
          <w:sz w:val="24"/>
        </w:rPr>
      </w:pPr>
      <w:r>
        <w:rPr>
          <w:sz w:val="24"/>
        </w:rPr>
        <w:t>行政事业性收费项目和标准的审批属于政府内部审批事项，继续按现行办法管理。</w:t>
      </w:r>
    </w:p>
    <w:sectPr>
      <w:pgSz w:w="16840" w:h="11910" w:orient="landscape"/>
      <w:pgMar w:top="1100" w:right="1200" w:bottom="1180" w:left="1220" w:header="0" w:footer="90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PMingLiU">
    <w:panose1 w:val="02020500000000000000"/>
    <w:charset w:val="88"/>
    <w:family w:val="roman"/>
    <w:pitch w:val="default"/>
    <w:sig w:usb0="A00002FF" w:usb1="28CFFCFA" w:usb2="00000016" w:usb3="00000000" w:csb0="00100001"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pict>
        <v:shape id="_x0000_s2049" o:spid="_x0000_s2049" o:spt="202" type="#_x0000_t202" style="position:absolute;left:0pt;margin-left:391.85pt;margin-top:535.7pt;height:16.05pt;width:16.0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w w:val="100"/>
                    <w:sz w:val="28"/>
                  </w:rPr>
                  <w:t>—</w:t>
                </w:r>
              </w:p>
            </w:txbxContent>
          </v:textbox>
        </v:shape>
      </w:pict>
    </w:r>
    <w:r>
      <w:pict>
        <v:shape id="_x0000_s2050" o:spid="_x0000_s2050" o:spt="202" type="#_x0000_t202" style="position:absolute;left:0pt;margin-left:411.85pt;margin-top:535.15pt;height:17.6pt;width:11.05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before="9"/>
                  <w:ind w:left="40" w:right="0" w:firstLine="0"/>
                  <w:jc w:val="left"/>
                  <w:rPr>
                    <w:rFonts w:ascii="Times New Roman"/>
                    <w:sz w:val="28"/>
                  </w:rPr>
                </w:pPr>
                <w:r>
                  <w:fldChar w:fldCharType="begin"/>
                </w:r>
                <w:r>
                  <w:rPr>
                    <w:rFonts w:ascii="Times New Roman"/>
                    <w:w w:val="100"/>
                    <w:sz w:val="28"/>
                  </w:rPr>
                  <w:instrText xml:space="preserve"> PAGE </w:instrText>
                </w:r>
                <w:r>
                  <w:fldChar w:fldCharType="separate"/>
                </w:r>
                <w:r>
                  <w:t>1</w:t>
                </w:r>
                <w:r>
                  <w:fldChar w:fldCharType="end"/>
                </w:r>
              </w:p>
            </w:txbxContent>
          </v:textbox>
        </v:shape>
      </w:pict>
    </w:r>
    <w:r>
      <w:pict>
        <v:shape id="_x0000_s2051" o:spid="_x0000_s2051" o:spt="202" type="#_x0000_t202" style="position:absolute;left:0pt;margin-left:426.9pt;margin-top:535.7pt;height:16.05pt;width:16.05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before="0" w:line="321" w:lineRule="exact"/>
                  <w:ind w:left="20" w:right="0" w:firstLine="0"/>
                  <w:jc w:val="left"/>
                  <w:rPr>
                    <w:sz w:val="28"/>
                  </w:rPr>
                </w:pPr>
                <w:r>
                  <w:rPr>
                    <w:w w:val="100"/>
                    <w:sz w:val="28"/>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220" w:hanging="181"/>
        <w:jc w:val="left"/>
      </w:pPr>
      <w:rPr>
        <w:rFonts w:hint="default" w:ascii="Times New Roman" w:hAnsi="Times New Roman" w:eastAsia="Times New Roman" w:cs="Times New Roman"/>
        <w:w w:val="100"/>
        <w:sz w:val="22"/>
        <w:szCs w:val="22"/>
        <w:lang w:val="zh-CN" w:eastAsia="zh-CN" w:bidi="zh-CN"/>
      </w:rPr>
    </w:lvl>
    <w:lvl w:ilvl="1" w:tentative="0">
      <w:start w:val="0"/>
      <w:numFmt w:val="bullet"/>
      <w:lvlText w:val="•"/>
      <w:lvlJc w:val="left"/>
      <w:pPr>
        <w:ind w:left="1639" w:hanging="181"/>
      </w:pPr>
      <w:rPr>
        <w:rFonts w:hint="default"/>
        <w:lang w:val="zh-CN" w:eastAsia="zh-CN" w:bidi="zh-CN"/>
      </w:rPr>
    </w:lvl>
    <w:lvl w:ilvl="2" w:tentative="0">
      <w:start w:val="0"/>
      <w:numFmt w:val="bullet"/>
      <w:lvlText w:val="•"/>
      <w:lvlJc w:val="left"/>
      <w:pPr>
        <w:ind w:left="3059" w:hanging="181"/>
      </w:pPr>
      <w:rPr>
        <w:rFonts w:hint="default"/>
        <w:lang w:val="zh-CN" w:eastAsia="zh-CN" w:bidi="zh-CN"/>
      </w:rPr>
    </w:lvl>
    <w:lvl w:ilvl="3" w:tentative="0">
      <w:start w:val="0"/>
      <w:numFmt w:val="bullet"/>
      <w:lvlText w:val="•"/>
      <w:lvlJc w:val="left"/>
      <w:pPr>
        <w:ind w:left="4479" w:hanging="181"/>
      </w:pPr>
      <w:rPr>
        <w:rFonts w:hint="default"/>
        <w:lang w:val="zh-CN" w:eastAsia="zh-CN" w:bidi="zh-CN"/>
      </w:rPr>
    </w:lvl>
    <w:lvl w:ilvl="4" w:tentative="0">
      <w:start w:val="0"/>
      <w:numFmt w:val="bullet"/>
      <w:lvlText w:val="•"/>
      <w:lvlJc w:val="left"/>
      <w:pPr>
        <w:ind w:left="5899" w:hanging="181"/>
      </w:pPr>
      <w:rPr>
        <w:rFonts w:hint="default"/>
        <w:lang w:val="zh-CN" w:eastAsia="zh-CN" w:bidi="zh-CN"/>
      </w:rPr>
    </w:lvl>
    <w:lvl w:ilvl="5" w:tentative="0">
      <w:start w:val="0"/>
      <w:numFmt w:val="bullet"/>
      <w:lvlText w:val="•"/>
      <w:lvlJc w:val="left"/>
      <w:pPr>
        <w:ind w:left="7319" w:hanging="181"/>
      </w:pPr>
      <w:rPr>
        <w:rFonts w:hint="default"/>
        <w:lang w:val="zh-CN" w:eastAsia="zh-CN" w:bidi="zh-CN"/>
      </w:rPr>
    </w:lvl>
    <w:lvl w:ilvl="6" w:tentative="0">
      <w:start w:val="0"/>
      <w:numFmt w:val="bullet"/>
      <w:lvlText w:val="•"/>
      <w:lvlJc w:val="left"/>
      <w:pPr>
        <w:ind w:left="8738" w:hanging="181"/>
      </w:pPr>
      <w:rPr>
        <w:rFonts w:hint="default"/>
        <w:lang w:val="zh-CN" w:eastAsia="zh-CN" w:bidi="zh-CN"/>
      </w:rPr>
    </w:lvl>
    <w:lvl w:ilvl="7" w:tentative="0">
      <w:start w:val="0"/>
      <w:numFmt w:val="bullet"/>
      <w:lvlText w:val="•"/>
      <w:lvlJc w:val="left"/>
      <w:pPr>
        <w:ind w:left="10158" w:hanging="181"/>
      </w:pPr>
      <w:rPr>
        <w:rFonts w:hint="default"/>
        <w:lang w:val="zh-CN" w:eastAsia="zh-CN" w:bidi="zh-CN"/>
      </w:rPr>
    </w:lvl>
    <w:lvl w:ilvl="8" w:tentative="0">
      <w:start w:val="0"/>
      <w:numFmt w:val="bullet"/>
      <w:lvlText w:val="•"/>
      <w:lvlJc w:val="left"/>
      <w:pPr>
        <w:ind w:left="11578" w:hanging="181"/>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shapeLayoutLikeWW8/>
    <w:useFELayout/>
    <w:compatSetting w:name="compatibilityMode" w:uri="http://schemas.microsoft.com/office/word" w:val="12"/>
  </w:compat>
  <w:rsids>
    <w:rsidRoot w:val="00000000"/>
    <w:rsid w:val="575966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semiHidden/>
    <w:unhideWhenUsed/>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lang w:val="zh-CN" w:eastAsia="zh-CN" w:bidi="zh-CN"/>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pPr>
      <w:ind w:left="220" w:right="237" w:firstLine="480"/>
    </w:pPr>
    <w:rPr>
      <w:rFonts w:ascii="宋体" w:hAnsi="宋体" w:eastAsia="宋体" w:cs="宋体"/>
      <w:lang w:val="zh-CN" w:eastAsia="zh-CN" w:bidi="zh-CN"/>
    </w:rPr>
  </w:style>
  <w:style w:type="paragraph" w:customStyle="1" w:styleId="7">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ScaleCrop>false</ScaleCrop>
  <LinksUpToDate>false</LinksUpToDate>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2021-06-07T02:44:00Z</dcterms:created>
  <dc:creator>Administrator</dc:creator>
  <cp:lastModifiedBy>！</cp:lastModifiedBy>
  <dcterms:modified xsi:type="dcterms:W3CDTF">2021-06-07T02:48:34Z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2020-03-16T00:00:00Z</vt:filetime>
  </property>
  <property fmtid="{D5CDD505-2E9C-101B-9397-08002B2CF9AE}" pid="3" name="Creator">
    <vt:lpwstr>WPS 文字</vt:lpwstr>
  </property>
  <property fmtid="{D5CDD505-2E9C-101B-9397-08002B2CF9AE}" pid="4" name="LastSaved">
    <vt:filetime>2021-06-07T00:00:00Z</vt:filetime>
  </property>
  <property fmtid="{D5CDD505-2E9C-101B-9397-08002B2CF9AE}" pid="5" name="KSOProductBuildVer">
    <vt:lpwstr>2052-11.1.0.10463</vt:lpwstr>
  </property>
  <property fmtid="{D5CDD505-2E9C-101B-9397-08002B2CF9AE}" pid="6" name="ICV">
    <vt:lpwstr>2C8966FBB36E40E99EEA9AE0EED72162</vt:lpwstr>
  </property>
</Properties>
</file>